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707D" w:rsidRPr="00F20D38" w:rsidRDefault="00F20D38" w:rsidP="00F20D38">
      <w:pPr>
        <w:jc w:val="center"/>
        <w:rPr>
          <w:b/>
        </w:rPr>
      </w:pPr>
      <w:r>
        <w:rPr>
          <w:b/>
        </w:rPr>
        <w:t>PROJECT NO. 54584</w:t>
      </w:r>
    </w:p>
    <w:p w:rsidR="00F20D38" w:rsidRDefault="00F20D38" w:rsidP="0018643B"/>
    <w:tbl>
      <w:tblPr>
        <w:tblW w:w="0" w:type="auto"/>
        <w:jc w:val="center"/>
        <w:tblLayout w:type="fixed"/>
        <w:tblLook w:val="0000" w:firstRow="0" w:lastRow="0" w:firstColumn="0" w:lastColumn="0" w:noHBand="0" w:noVBand="0"/>
      </w:tblPr>
      <w:tblGrid>
        <w:gridCol w:w="4684"/>
        <w:gridCol w:w="540"/>
        <w:gridCol w:w="4410"/>
      </w:tblGrid>
      <w:tr w:rsidR="00F20D38" w:rsidTr="00555BB0">
        <w:trPr>
          <w:trHeight w:val="927"/>
          <w:jc w:val="center"/>
        </w:trPr>
        <w:tc>
          <w:tcPr>
            <w:tcW w:w="4684" w:type="dxa"/>
            <w:shd w:val="clear" w:color="auto" w:fill="auto"/>
          </w:tcPr>
          <w:p w:rsidR="00F20D38" w:rsidRPr="0037768E" w:rsidRDefault="00F20D38" w:rsidP="00F20D38">
            <w:pPr>
              <w:jc w:val="left"/>
              <w:rPr>
                <w:rFonts w:eastAsia="Times New Roman"/>
                <w:b/>
              </w:rPr>
            </w:pPr>
            <w:r>
              <w:rPr>
                <w:b/>
              </w:rPr>
              <w:t>RELIABILITY STANDARD FOR THE ERCOT MARKET</w:t>
            </w:r>
          </w:p>
        </w:tc>
        <w:tc>
          <w:tcPr>
            <w:tcW w:w="540" w:type="dxa"/>
            <w:shd w:val="clear" w:color="auto" w:fill="auto"/>
          </w:tcPr>
          <w:p w:rsidR="00F20D38" w:rsidRPr="0037768E" w:rsidRDefault="00F20D38" w:rsidP="00555BB0">
            <w:pPr>
              <w:rPr>
                <w:rFonts w:eastAsia="Times New Roman"/>
                <w:b/>
              </w:rPr>
            </w:pPr>
            <w:r w:rsidRPr="0037768E">
              <w:rPr>
                <w:rFonts w:eastAsia="Times New Roman"/>
                <w:b/>
              </w:rPr>
              <w:t>§</w:t>
            </w:r>
          </w:p>
          <w:p w:rsidR="00F20D38" w:rsidRPr="0037768E" w:rsidRDefault="00F20D38" w:rsidP="00555BB0">
            <w:pPr>
              <w:rPr>
                <w:rFonts w:eastAsia="Times New Roman"/>
                <w:b/>
              </w:rPr>
            </w:pPr>
            <w:r w:rsidRPr="0037768E">
              <w:rPr>
                <w:rFonts w:eastAsia="Times New Roman"/>
                <w:b/>
              </w:rPr>
              <w:t>§</w:t>
            </w:r>
          </w:p>
          <w:p w:rsidR="00F20D38" w:rsidRDefault="00F20D38" w:rsidP="00555BB0">
            <w:pPr>
              <w:rPr>
                <w:rFonts w:eastAsia="Times New Roman"/>
                <w:b/>
              </w:rPr>
            </w:pPr>
            <w:r w:rsidRPr="0037768E">
              <w:rPr>
                <w:rFonts w:eastAsia="Times New Roman"/>
                <w:b/>
              </w:rPr>
              <w:t>§</w:t>
            </w:r>
          </w:p>
          <w:p w:rsidR="00F20D38" w:rsidRPr="0037768E" w:rsidRDefault="00F20D38" w:rsidP="00555BB0">
            <w:pPr>
              <w:rPr>
                <w:rFonts w:eastAsia="Times New Roman"/>
                <w:b/>
              </w:rPr>
            </w:pPr>
          </w:p>
        </w:tc>
        <w:tc>
          <w:tcPr>
            <w:tcW w:w="4410" w:type="dxa"/>
            <w:shd w:val="clear" w:color="auto" w:fill="auto"/>
          </w:tcPr>
          <w:p w:rsidR="00F20D38" w:rsidRPr="0037768E" w:rsidRDefault="00F20D38" w:rsidP="00555BB0">
            <w:pPr>
              <w:jc w:val="center"/>
              <w:rPr>
                <w:rFonts w:eastAsia="Times New Roman"/>
                <w:b/>
              </w:rPr>
            </w:pPr>
            <w:r w:rsidRPr="0037768E">
              <w:rPr>
                <w:rFonts w:eastAsia="Times New Roman"/>
                <w:b/>
              </w:rPr>
              <w:t>PUBLIC UTILITY COMMISSION</w:t>
            </w:r>
          </w:p>
          <w:p w:rsidR="00F20D38" w:rsidRPr="0037768E" w:rsidRDefault="00F20D38" w:rsidP="00555BB0">
            <w:pPr>
              <w:jc w:val="center"/>
              <w:rPr>
                <w:rFonts w:eastAsia="Times New Roman"/>
                <w:b/>
              </w:rPr>
            </w:pPr>
          </w:p>
          <w:p w:rsidR="00F20D38" w:rsidRPr="0037768E" w:rsidRDefault="00F20D38" w:rsidP="00555BB0">
            <w:pPr>
              <w:jc w:val="center"/>
              <w:rPr>
                <w:rFonts w:eastAsia="Times New Roman"/>
                <w:b/>
              </w:rPr>
            </w:pPr>
            <w:r w:rsidRPr="0037768E">
              <w:rPr>
                <w:rFonts w:eastAsia="Times New Roman"/>
                <w:b/>
              </w:rPr>
              <w:t>OF TEXAS</w:t>
            </w:r>
          </w:p>
        </w:tc>
      </w:tr>
    </w:tbl>
    <w:p w:rsidR="00F20D38" w:rsidRDefault="00F20D38" w:rsidP="0018643B"/>
    <w:p w:rsidR="00F20D38" w:rsidRPr="00F20D38" w:rsidRDefault="00F20D38" w:rsidP="00F20D38">
      <w:pPr>
        <w:jc w:val="center"/>
        <w:rPr>
          <w:u w:val="single"/>
        </w:rPr>
      </w:pPr>
      <w:r w:rsidRPr="00F20D38">
        <w:rPr>
          <w:b/>
          <w:u w:val="single"/>
        </w:rPr>
        <w:t>NEXTERA ENERGY RESOURCES, LLC’S COMMENTS</w:t>
      </w:r>
    </w:p>
    <w:p w:rsidR="00F20D38" w:rsidRDefault="00F20D38" w:rsidP="0018643B"/>
    <w:p w:rsidR="00F20D38" w:rsidRPr="00615538" w:rsidRDefault="00F20D38" w:rsidP="00F20D38">
      <w:pPr>
        <w:spacing w:line="480" w:lineRule="auto"/>
      </w:pPr>
      <w:r>
        <w:tab/>
      </w:r>
      <w:r w:rsidRPr="00615538">
        <w:t>NextEra Energy Resources, LLC (</w:t>
      </w:r>
      <w:r w:rsidR="00814B12">
        <w:t>“</w:t>
      </w:r>
      <w:r w:rsidRPr="00615538">
        <w:t>NextEra</w:t>
      </w:r>
      <w:r w:rsidR="00814B12">
        <w:t>”</w:t>
      </w:r>
      <w:r w:rsidRPr="00615538">
        <w:t>) appreciates the opport</w:t>
      </w:r>
      <w:bookmarkStart w:id="0" w:name="_GoBack"/>
      <w:bookmarkEnd w:id="0"/>
      <w:r w:rsidRPr="00615538">
        <w:t xml:space="preserve">unity to respond to the Public Utility Commission of Texas </w:t>
      </w:r>
      <w:r>
        <w:t>(</w:t>
      </w:r>
      <w:r w:rsidR="00814B12">
        <w:t>“</w:t>
      </w:r>
      <w:r>
        <w:t>Commission</w:t>
      </w:r>
      <w:r w:rsidR="00814B12">
        <w:t>”</w:t>
      </w:r>
      <w:r>
        <w:t>) Staf</w:t>
      </w:r>
      <w:r w:rsidRPr="00615538">
        <w:t xml:space="preserve">f’s questions for comment in Project </w:t>
      </w:r>
      <w:r>
        <w:t>No. </w:t>
      </w:r>
      <w:r w:rsidRPr="00615538">
        <w:t>54584: RELIABILITY STANDARD FOR THE ERCOT MARKET and offers the below responses.</w:t>
      </w:r>
    </w:p>
    <w:p w:rsidR="00F20D38" w:rsidRPr="00615538" w:rsidRDefault="00F20D38" w:rsidP="00F20D38">
      <w:pPr>
        <w:numPr>
          <w:ilvl w:val="0"/>
          <w:numId w:val="38"/>
        </w:numPr>
        <w:tabs>
          <w:tab w:val="clear" w:pos="720"/>
        </w:tabs>
        <w:spacing w:line="360" w:lineRule="auto"/>
        <w:jc w:val="center"/>
        <w:rPr>
          <w:rFonts w:eastAsia="Times New Roman"/>
        </w:rPr>
      </w:pPr>
      <w:r w:rsidRPr="00615538">
        <w:rPr>
          <w:b/>
          <w:bCs/>
          <w:u w:val="single"/>
        </w:rPr>
        <w:t>RESPONSES TO COMMISSION STAFF’S QUESTIONS</w:t>
      </w:r>
    </w:p>
    <w:p w:rsidR="00F20D38" w:rsidRPr="00615538" w:rsidRDefault="00F20D38" w:rsidP="00F20D38">
      <w:pPr>
        <w:pStyle w:val="xmsonormal"/>
        <w:jc w:val="both"/>
        <w:rPr>
          <w:rFonts w:ascii="Times New Roman" w:hAnsi="Times New Roman" w:cs="Times New Roman"/>
          <w:sz w:val="24"/>
          <w:szCs w:val="24"/>
        </w:rPr>
      </w:pPr>
    </w:p>
    <w:p w:rsidR="00F20D38" w:rsidRPr="00615538" w:rsidRDefault="00F20D38" w:rsidP="00C30507">
      <w:pPr>
        <w:pStyle w:val="xxmsonormal"/>
        <w:spacing w:before="0" w:beforeAutospacing="0" w:after="240" w:afterAutospacing="0"/>
        <w:jc w:val="both"/>
        <w:rPr>
          <w:rFonts w:ascii="Times New Roman" w:hAnsi="Times New Roman" w:cs="Times New Roman"/>
          <w:sz w:val="24"/>
          <w:szCs w:val="24"/>
        </w:rPr>
      </w:pPr>
      <w:r w:rsidRPr="00615538">
        <w:rPr>
          <w:rFonts w:ascii="Times New Roman" w:hAnsi="Times New Roman" w:cs="Times New Roman"/>
          <w:b/>
          <w:bCs/>
          <w:sz w:val="24"/>
          <w:szCs w:val="24"/>
        </w:rPr>
        <w:t>(1) The Commission has previously considered various reliability metrics, such as Loss of Load Expectation (</w:t>
      </w:r>
      <w:r w:rsidR="00814B12">
        <w:rPr>
          <w:rFonts w:ascii="Times New Roman" w:hAnsi="Times New Roman" w:cs="Times New Roman"/>
          <w:b/>
          <w:bCs/>
          <w:sz w:val="24"/>
          <w:szCs w:val="24"/>
        </w:rPr>
        <w:t>“</w:t>
      </w:r>
      <w:r w:rsidRPr="00615538">
        <w:rPr>
          <w:rFonts w:ascii="Times New Roman" w:hAnsi="Times New Roman" w:cs="Times New Roman"/>
          <w:b/>
          <w:bCs/>
          <w:sz w:val="24"/>
          <w:szCs w:val="24"/>
        </w:rPr>
        <w:t>LOLE</w:t>
      </w:r>
      <w:r w:rsidR="00814B12">
        <w:rPr>
          <w:rFonts w:ascii="Times New Roman" w:hAnsi="Times New Roman" w:cs="Times New Roman"/>
          <w:b/>
          <w:bCs/>
          <w:sz w:val="24"/>
          <w:szCs w:val="24"/>
        </w:rPr>
        <w:t>”</w:t>
      </w:r>
      <w:r w:rsidRPr="00615538">
        <w:rPr>
          <w:rFonts w:ascii="Times New Roman" w:hAnsi="Times New Roman" w:cs="Times New Roman"/>
          <w:b/>
          <w:bCs/>
          <w:sz w:val="24"/>
          <w:szCs w:val="24"/>
        </w:rPr>
        <w:t>), Loss of Load Hours (</w:t>
      </w:r>
      <w:r w:rsidR="00814B12">
        <w:rPr>
          <w:rFonts w:ascii="Times New Roman" w:hAnsi="Times New Roman" w:cs="Times New Roman"/>
          <w:b/>
          <w:bCs/>
          <w:sz w:val="24"/>
          <w:szCs w:val="24"/>
        </w:rPr>
        <w:t>“</w:t>
      </w:r>
      <w:r w:rsidRPr="00615538">
        <w:rPr>
          <w:rFonts w:ascii="Times New Roman" w:hAnsi="Times New Roman" w:cs="Times New Roman"/>
          <w:b/>
          <w:bCs/>
          <w:sz w:val="24"/>
          <w:szCs w:val="24"/>
        </w:rPr>
        <w:t>LOLH</w:t>
      </w:r>
      <w:r w:rsidR="00814B12">
        <w:rPr>
          <w:rFonts w:ascii="Times New Roman" w:hAnsi="Times New Roman" w:cs="Times New Roman"/>
          <w:b/>
          <w:bCs/>
          <w:sz w:val="24"/>
          <w:szCs w:val="24"/>
        </w:rPr>
        <w:t>”</w:t>
      </w:r>
      <w:r w:rsidRPr="00615538">
        <w:rPr>
          <w:rFonts w:ascii="Times New Roman" w:hAnsi="Times New Roman" w:cs="Times New Roman"/>
          <w:b/>
          <w:bCs/>
          <w:sz w:val="24"/>
          <w:szCs w:val="24"/>
        </w:rPr>
        <w:t>), and Expected Unserved Energy (</w:t>
      </w:r>
      <w:r w:rsidR="00814B12">
        <w:rPr>
          <w:rFonts w:ascii="Times New Roman" w:hAnsi="Times New Roman" w:cs="Times New Roman"/>
          <w:b/>
          <w:bCs/>
          <w:sz w:val="24"/>
          <w:szCs w:val="24"/>
        </w:rPr>
        <w:t>“</w:t>
      </w:r>
      <w:r w:rsidRPr="00615538">
        <w:rPr>
          <w:rFonts w:ascii="Times New Roman" w:hAnsi="Times New Roman" w:cs="Times New Roman"/>
          <w:b/>
          <w:bCs/>
          <w:sz w:val="24"/>
          <w:szCs w:val="24"/>
        </w:rPr>
        <w:t>EUE</w:t>
      </w:r>
      <w:r w:rsidR="00814B12">
        <w:rPr>
          <w:rFonts w:ascii="Times New Roman" w:hAnsi="Times New Roman" w:cs="Times New Roman"/>
          <w:b/>
          <w:bCs/>
          <w:sz w:val="24"/>
          <w:szCs w:val="24"/>
        </w:rPr>
        <w:t>”</w:t>
      </w:r>
      <w:r w:rsidRPr="00615538">
        <w:rPr>
          <w:rFonts w:ascii="Times New Roman" w:hAnsi="Times New Roman" w:cs="Times New Roman"/>
          <w:b/>
          <w:bCs/>
          <w:sz w:val="24"/>
          <w:szCs w:val="24"/>
        </w:rPr>
        <w:t xml:space="preserve">). </w:t>
      </w:r>
    </w:p>
    <w:p w:rsidR="00191A66" w:rsidRDefault="00F20D38" w:rsidP="00C30507">
      <w:pPr>
        <w:pStyle w:val="xxmsonormal"/>
        <w:spacing w:before="0" w:beforeAutospacing="0" w:after="240" w:afterAutospacing="0"/>
        <w:ind w:left="720"/>
        <w:jc w:val="both"/>
        <w:rPr>
          <w:rFonts w:ascii="Times New Roman" w:hAnsi="Times New Roman" w:cs="Times New Roman"/>
          <w:b/>
          <w:bCs/>
          <w:sz w:val="24"/>
          <w:szCs w:val="24"/>
        </w:rPr>
      </w:pPr>
      <w:r w:rsidRPr="00615538">
        <w:rPr>
          <w:rFonts w:ascii="Times New Roman" w:hAnsi="Times New Roman" w:cs="Times New Roman"/>
          <w:b/>
          <w:bCs/>
          <w:sz w:val="24"/>
          <w:szCs w:val="24"/>
        </w:rPr>
        <w:t xml:space="preserve">- Which reliability metrics, including those not previously studied, should the Commission consider in establishing a reliability standard for the ERCOT power region? </w:t>
      </w:r>
    </w:p>
    <w:p w:rsidR="00F20D38" w:rsidRPr="00615538" w:rsidRDefault="00191A66" w:rsidP="00191A66">
      <w:pPr>
        <w:spacing w:line="480" w:lineRule="auto"/>
      </w:pPr>
      <w:r>
        <w:tab/>
      </w:r>
      <w:r w:rsidR="00F20D38" w:rsidRPr="00615538">
        <w:t xml:space="preserve">NextEra believes that the Commission should consider all of the metrics mentioned above to address the reliability standard with an eye towards identifying a metric that considers a broad range of reliability impacts (frequency, duration and magnitude).  All of these metrics aid in understanding the impact of outages on the grid and end use consumers.  It would be a marked change from today, but other markets (i.e., </w:t>
      </w:r>
      <w:r w:rsidR="00C30507">
        <w:t>New York Independent System Operator</w:t>
      </w:r>
      <w:r w:rsidR="00F20D38" w:rsidRPr="00615538">
        <w:t xml:space="preserve">, </w:t>
      </w:r>
      <w:r w:rsidR="00C30507">
        <w:t>PJM Interconnection</w:t>
      </w:r>
      <w:r w:rsidR="00F20D38" w:rsidRPr="00615538">
        <w:t xml:space="preserve">, </w:t>
      </w:r>
      <w:r w:rsidR="00C30507">
        <w:t>and Midcontinent Independent System Operator (</w:t>
      </w:r>
      <w:r w:rsidR="00814B12">
        <w:t>“</w:t>
      </w:r>
      <w:r w:rsidR="00F20D38" w:rsidRPr="00615538">
        <w:t>MISO</w:t>
      </w:r>
      <w:r w:rsidR="00814B12">
        <w:t>”</w:t>
      </w:r>
      <w:r w:rsidR="00C30507">
        <w:t>)</w:t>
      </w:r>
      <w:r w:rsidR="00F20D38" w:rsidRPr="00615538">
        <w:t xml:space="preserve">) are considering adopting alternatives to LOLE alone as technology in the generation fleet changes, as well as the characteristics of load changes, and it would be insightful for </w:t>
      </w:r>
      <w:r w:rsidR="00814B12">
        <w:t>the Electric Reliability Council of Texas (“</w:t>
      </w:r>
      <w:r w:rsidR="00F20D38" w:rsidRPr="00615538">
        <w:t>ERCOT</w:t>
      </w:r>
      <w:r w:rsidR="00814B12">
        <w:t>”)</w:t>
      </w:r>
      <w:r w:rsidR="00F20D38" w:rsidRPr="00615538">
        <w:t xml:space="preserve"> to also study the value of these three metrics to determine if there is additional value to the system to include all three going forward, with the standard to keep being the </w:t>
      </w:r>
      <w:r w:rsidR="00F20D38" w:rsidRPr="00615538">
        <w:lastRenderedPageBreak/>
        <w:t>LOLE.  NextEra supports ERCOT working with Astrap</w:t>
      </w:r>
      <w:r w:rsidR="00C30507">
        <w:t>é</w:t>
      </w:r>
      <w:r w:rsidR="00F20D38" w:rsidRPr="00615538">
        <w:t xml:space="preserve"> to start producing scenarios for stakeholder discussion.</w:t>
      </w:r>
    </w:p>
    <w:p w:rsidR="00191A66" w:rsidRDefault="00F20D38" w:rsidP="00C30507">
      <w:pPr>
        <w:pStyle w:val="xxmsonormal"/>
        <w:spacing w:before="0" w:beforeAutospacing="0" w:after="240" w:afterAutospacing="0"/>
        <w:ind w:left="720"/>
        <w:jc w:val="both"/>
        <w:rPr>
          <w:rFonts w:ascii="Times New Roman" w:hAnsi="Times New Roman" w:cs="Times New Roman"/>
          <w:b/>
          <w:bCs/>
          <w:sz w:val="24"/>
          <w:szCs w:val="24"/>
        </w:rPr>
      </w:pPr>
      <w:r w:rsidRPr="00615538">
        <w:rPr>
          <w:rFonts w:ascii="Times New Roman" w:hAnsi="Times New Roman" w:cs="Times New Roman"/>
          <w:b/>
          <w:bCs/>
          <w:sz w:val="24"/>
          <w:szCs w:val="24"/>
        </w:rPr>
        <w:t xml:space="preserve">- Which reliability metric, or combination of reliability metrics, should the Commission adopt for the reliability standard in ERCOT? </w:t>
      </w:r>
    </w:p>
    <w:p w:rsidR="00F20D38" w:rsidRPr="00615538" w:rsidRDefault="00191A66" w:rsidP="00191A66">
      <w:pPr>
        <w:spacing w:line="480" w:lineRule="auto"/>
      </w:pPr>
      <w:r>
        <w:tab/>
      </w:r>
      <w:r w:rsidR="00F20D38" w:rsidRPr="00615538">
        <w:t>NextEra supports a robust discussion on the scenario analysis and outcomes with ERCOT and Astrap</w:t>
      </w:r>
      <w:r w:rsidR="00C30507">
        <w:t>é</w:t>
      </w:r>
      <w:r w:rsidR="00F20D38" w:rsidRPr="00615538">
        <w:t xml:space="preserve"> to determine the best metric, or combination of metrics (including LOLE, LOLH, and EUE) to determine the best fit for Texas.  Multiple sensitivity tests should be run to look at the risks for each metric and find a range or value that would reflect the best outcome for the ERCOT system.</w:t>
      </w:r>
    </w:p>
    <w:p w:rsidR="00191A66" w:rsidRDefault="00F20D38" w:rsidP="00C30507">
      <w:pPr>
        <w:pStyle w:val="xxmsonormal"/>
        <w:spacing w:before="0" w:beforeAutospacing="0" w:after="240" w:afterAutospacing="0"/>
        <w:ind w:left="720"/>
        <w:jc w:val="both"/>
        <w:rPr>
          <w:rFonts w:ascii="Times New Roman" w:hAnsi="Times New Roman" w:cs="Times New Roman"/>
          <w:b/>
          <w:bCs/>
          <w:sz w:val="24"/>
          <w:szCs w:val="24"/>
        </w:rPr>
      </w:pPr>
      <w:r w:rsidRPr="00615538">
        <w:rPr>
          <w:rFonts w:ascii="Times New Roman" w:hAnsi="Times New Roman" w:cs="Times New Roman"/>
          <w:b/>
          <w:bCs/>
          <w:sz w:val="24"/>
          <w:szCs w:val="24"/>
        </w:rPr>
        <w:t xml:space="preserve">- What are the advantages of your chosen reliability metrics, and what are the disadvantages of alternative approaches? </w:t>
      </w:r>
      <w:r w:rsidR="00191A66">
        <w:rPr>
          <w:rFonts w:ascii="Times New Roman" w:hAnsi="Times New Roman" w:cs="Times New Roman"/>
          <w:b/>
          <w:bCs/>
          <w:sz w:val="24"/>
          <w:szCs w:val="24"/>
        </w:rPr>
        <w:t xml:space="preserve"> </w:t>
      </w:r>
    </w:p>
    <w:p w:rsidR="00F20D38" w:rsidRPr="00615538" w:rsidRDefault="00191A66" w:rsidP="00191A66">
      <w:pPr>
        <w:spacing w:line="480" w:lineRule="auto"/>
      </w:pPr>
      <w:r>
        <w:tab/>
      </w:r>
      <w:r w:rsidR="00F20D38" w:rsidRPr="00615538">
        <w:t>While including all three metrics in the ultimate reliability standard assessment may give a more complete picture of the system, it does come with added complexities.  An initial thought is that a more robust demand curve would be needed in addition to determining if a seasonal component or annual would be better.  The seasonal component could be more complex (as is the thought in MISO with the one metric).  An additional issue to take into account is if a three metric reliability standard is established, then ERCOT will have a higher capacity requirement, so market participants will need to weigh-in on the impacts of such a change during the vetting process. </w:t>
      </w:r>
    </w:p>
    <w:p w:rsidR="00F20D38" w:rsidRPr="00615538" w:rsidRDefault="00191A66" w:rsidP="00191A66">
      <w:pPr>
        <w:spacing w:line="480" w:lineRule="auto"/>
      </w:pPr>
      <w:r>
        <w:tab/>
      </w:r>
      <w:r w:rsidR="00F20D38" w:rsidRPr="00615538">
        <w:t>Finally, considering the impact of the Performance Credit Mechanism (</w:t>
      </w:r>
      <w:r w:rsidR="00814B12">
        <w:t>“</w:t>
      </w:r>
      <w:r w:rsidR="00F20D38" w:rsidRPr="00615538">
        <w:t>PCM</w:t>
      </w:r>
      <w:r w:rsidR="00814B12">
        <w:t>”</w:t>
      </w:r>
      <w:r w:rsidR="00F20D38" w:rsidRPr="00615538">
        <w:t xml:space="preserve">) as the reliability construct, this raises questions such as: Will the reliability standard be implemented via PCM?  If so, will a target reserve margin be determined for the top 30 (or similar) hours with the lowest margin based on </w:t>
      </w:r>
      <w:r w:rsidR="00514076">
        <w:t>Loss of Load Probability (</w:t>
      </w:r>
      <w:r w:rsidR="00814B12">
        <w:t>“</w:t>
      </w:r>
      <w:r w:rsidR="00F20D38" w:rsidRPr="00615538">
        <w:t>LOLP</w:t>
      </w:r>
      <w:r w:rsidR="00814B12">
        <w:t>”</w:t>
      </w:r>
      <w:r w:rsidR="00514076">
        <w:t>)</w:t>
      </w:r>
      <w:r w:rsidR="00F20D38" w:rsidRPr="00615538">
        <w:t xml:space="preserve"> studies? </w:t>
      </w:r>
      <w:r>
        <w:t xml:space="preserve"> </w:t>
      </w:r>
      <w:r w:rsidR="00F20D38" w:rsidRPr="00615538">
        <w:t xml:space="preserve">How will the demand curve be constructed and how will it reflect generator revenues from energy and ancillary markets? </w:t>
      </w:r>
      <w:r>
        <w:t xml:space="preserve"> </w:t>
      </w:r>
      <w:r w:rsidR="00F20D38" w:rsidRPr="00615538">
        <w:t>How will the cost of new entry that forms the basis for the demand curve be determined, and how will the demand curve development process address changes in the marginal technology over time?</w:t>
      </w:r>
    </w:p>
    <w:p w:rsidR="00F20D38" w:rsidRPr="00615538" w:rsidRDefault="00F20D38" w:rsidP="0038783A">
      <w:pPr>
        <w:pStyle w:val="xxmsonormal"/>
        <w:keepNext/>
        <w:keepLines/>
        <w:spacing w:before="0" w:beforeAutospacing="0" w:after="240" w:afterAutospacing="0"/>
        <w:jc w:val="both"/>
        <w:rPr>
          <w:rFonts w:ascii="Times New Roman" w:hAnsi="Times New Roman" w:cs="Times New Roman"/>
          <w:sz w:val="24"/>
          <w:szCs w:val="24"/>
        </w:rPr>
      </w:pPr>
      <w:r w:rsidRPr="00615538">
        <w:rPr>
          <w:rFonts w:ascii="Times New Roman" w:hAnsi="Times New Roman" w:cs="Times New Roman"/>
          <w:b/>
          <w:bCs/>
          <w:sz w:val="24"/>
          <w:szCs w:val="24"/>
        </w:rPr>
        <w:lastRenderedPageBreak/>
        <w:t xml:space="preserve">(2) What is the most effective way that the Commission can include deliverability in the reliability standard? </w:t>
      </w:r>
    </w:p>
    <w:p w:rsidR="00F20D38" w:rsidRPr="00615538" w:rsidRDefault="00191A66" w:rsidP="00191A66">
      <w:pPr>
        <w:keepNext/>
        <w:keepLines/>
        <w:spacing w:line="480" w:lineRule="auto"/>
      </w:pPr>
      <w:r>
        <w:tab/>
      </w:r>
      <w:r w:rsidR="00F20D38" w:rsidRPr="00615538">
        <w:t>More study is needed is the short answer to deliverability.  One of the many factors that has made the ERCOT region attractive for generation developers is the fact that ERCOT’s interconnection process avoids many of the interconnection queue issues that other regions experience, (such as long delays, unforeseen interconnection and network upgrade costs, etc.).  Having a more detailed picture of resources that are more accurately rated for their capabilities is paramount to avoid those interconnection delays and unforeseen costs.  Valuing these capabilities could be built on the effective load carrying capability to value all resource types.  This leads to the challenge that would require ERCOT to focus on accreditation which would potentially require a lot of analysis and time outsides of this project.   Similar to the prior question, the undetermined market construct (PCM) plays a factor with deliverability.  Two additional points for consideration that should be noted when thinking about deliverability and the reliability standard are that A) the transmission planning process should consider the benefits to reliability to which it will then lower costs of reliability for transmission investments B)</w:t>
      </w:r>
      <w:r w:rsidR="00310B50">
        <w:t> </w:t>
      </w:r>
      <w:r w:rsidR="00F20D38" w:rsidRPr="00615538">
        <w:t>Deliverability considerations should not impact the reliability value of generators, through accreditation discounts.</w:t>
      </w:r>
    </w:p>
    <w:p w:rsidR="00F20D38" w:rsidRPr="00615538" w:rsidRDefault="00F20D38" w:rsidP="00091989">
      <w:pPr>
        <w:pStyle w:val="xxmsonormal"/>
        <w:spacing w:before="0" w:beforeAutospacing="0" w:after="240" w:afterAutospacing="0"/>
        <w:jc w:val="both"/>
        <w:rPr>
          <w:rFonts w:ascii="Times New Roman" w:hAnsi="Times New Roman" w:cs="Times New Roman"/>
          <w:sz w:val="24"/>
          <w:szCs w:val="24"/>
        </w:rPr>
      </w:pPr>
      <w:r w:rsidRPr="00615538">
        <w:rPr>
          <w:rFonts w:ascii="Times New Roman" w:hAnsi="Times New Roman" w:cs="Times New Roman"/>
          <w:b/>
          <w:bCs/>
          <w:sz w:val="24"/>
          <w:szCs w:val="24"/>
        </w:rPr>
        <w:t xml:space="preserve">(3) Additional considerations in establishing the reliability standard in the ERCOT power region. </w:t>
      </w:r>
    </w:p>
    <w:p w:rsidR="00F20D38" w:rsidRDefault="00F20D38" w:rsidP="00091989">
      <w:pPr>
        <w:pStyle w:val="xxmsonormal"/>
        <w:spacing w:before="0" w:beforeAutospacing="0" w:after="240" w:afterAutospacing="0"/>
        <w:ind w:left="720"/>
        <w:jc w:val="both"/>
        <w:rPr>
          <w:rFonts w:ascii="Times New Roman" w:hAnsi="Times New Roman" w:cs="Times New Roman"/>
          <w:b/>
          <w:bCs/>
          <w:sz w:val="24"/>
          <w:szCs w:val="24"/>
        </w:rPr>
      </w:pPr>
      <w:r w:rsidRPr="00615538">
        <w:rPr>
          <w:rFonts w:ascii="Times New Roman" w:hAnsi="Times New Roman" w:cs="Times New Roman"/>
          <w:b/>
          <w:bCs/>
          <w:sz w:val="24"/>
          <w:szCs w:val="24"/>
        </w:rPr>
        <w:t xml:space="preserve">- Should the reliability standard include a locational requirement? </w:t>
      </w:r>
    </w:p>
    <w:p w:rsidR="00091989" w:rsidRPr="00615538" w:rsidRDefault="00091989" w:rsidP="00091989">
      <w:pPr>
        <w:spacing w:line="480" w:lineRule="auto"/>
      </w:pPr>
      <w:r>
        <w:tab/>
        <w:t>No response.</w:t>
      </w:r>
    </w:p>
    <w:p w:rsidR="00091989" w:rsidRDefault="00F20D38" w:rsidP="00091989">
      <w:pPr>
        <w:pStyle w:val="xxmsonormal"/>
        <w:keepNext/>
        <w:keepLines/>
        <w:spacing w:before="0" w:beforeAutospacing="0" w:after="240" w:afterAutospacing="0"/>
        <w:ind w:left="720"/>
        <w:jc w:val="both"/>
        <w:rPr>
          <w:rFonts w:ascii="Times New Roman" w:hAnsi="Times New Roman" w:cs="Times New Roman"/>
          <w:b/>
          <w:bCs/>
          <w:sz w:val="24"/>
          <w:szCs w:val="24"/>
        </w:rPr>
      </w:pPr>
      <w:r w:rsidRPr="00615538">
        <w:rPr>
          <w:rFonts w:ascii="Times New Roman" w:hAnsi="Times New Roman" w:cs="Times New Roman"/>
          <w:b/>
          <w:bCs/>
          <w:sz w:val="24"/>
          <w:szCs w:val="24"/>
        </w:rPr>
        <w:lastRenderedPageBreak/>
        <w:t xml:space="preserve">- Should the reliability standard include a seasonal component? </w:t>
      </w:r>
    </w:p>
    <w:p w:rsidR="00F20D38" w:rsidRPr="00615538" w:rsidRDefault="00091989" w:rsidP="00091989">
      <w:pPr>
        <w:keepNext/>
        <w:keepLines/>
        <w:spacing w:line="480" w:lineRule="auto"/>
      </w:pPr>
      <w:r>
        <w:tab/>
        <w:t>I</w:t>
      </w:r>
      <w:r w:rsidR="00F20D38" w:rsidRPr="00615538">
        <w:t xml:space="preserve">f ERCOT determines that a reliability standard should be made up of the three metrics, LOLE, LOLH and EUE, NextEra believes that </w:t>
      </w:r>
      <w:r>
        <w:t xml:space="preserve">a </w:t>
      </w:r>
      <w:r w:rsidR="00F20D38" w:rsidRPr="00615538">
        <w:t>more granular picture of the system would be best studied on an annual basis.  Going to a seasonal component may add extra study complexity which should be weighed against potential cost savings from adopting a seasonal reliability metric.  Already going from a one metric to three should yield the best outcome.  If, further into the future that is not yet enough, then ERCOT and stakeholders could further look into other component variations to check and adjust.</w:t>
      </w:r>
    </w:p>
    <w:p w:rsidR="00091989" w:rsidRDefault="00F20D38" w:rsidP="00091989">
      <w:pPr>
        <w:pStyle w:val="xxmsonormal"/>
        <w:spacing w:before="0" w:beforeAutospacing="0" w:after="240" w:afterAutospacing="0"/>
        <w:ind w:left="720"/>
        <w:jc w:val="both"/>
        <w:rPr>
          <w:rFonts w:ascii="Times New Roman" w:hAnsi="Times New Roman" w:cs="Times New Roman"/>
          <w:b/>
          <w:bCs/>
          <w:sz w:val="24"/>
          <w:szCs w:val="24"/>
        </w:rPr>
      </w:pPr>
      <w:r w:rsidRPr="00615538">
        <w:rPr>
          <w:rFonts w:ascii="Times New Roman" w:hAnsi="Times New Roman" w:cs="Times New Roman"/>
          <w:b/>
          <w:bCs/>
          <w:sz w:val="24"/>
          <w:szCs w:val="24"/>
        </w:rPr>
        <w:t xml:space="preserve">- How can extreme events be captured in a reliability standard? </w:t>
      </w:r>
    </w:p>
    <w:p w:rsidR="00F20D38" w:rsidRPr="00615538" w:rsidRDefault="00514076" w:rsidP="00514076">
      <w:pPr>
        <w:spacing w:line="480" w:lineRule="auto"/>
      </w:pPr>
      <w:r>
        <w:tab/>
      </w:r>
      <w:r w:rsidR="00F20D38" w:rsidRPr="00615538">
        <w:t>Determining the bookends in study analysis by ERCOT and their consultant based on historical data with likelihood of extreme events should guide the conversation with market participants where this should be discussed in an open forum.</w:t>
      </w:r>
      <w:r w:rsidR="00F20D38" w:rsidRPr="00615538">
        <w:rPr>
          <w:b/>
          <w:bCs/>
        </w:rPr>
        <w:t>   </w:t>
      </w:r>
    </w:p>
    <w:p w:rsidR="00514076" w:rsidRDefault="00F20D38" w:rsidP="00514076">
      <w:pPr>
        <w:pStyle w:val="xxmsonormal"/>
        <w:spacing w:before="0" w:beforeAutospacing="0" w:after="240" w:afterAutospacing="0"/>
        <w:ind w:left="720"/>
        <w:jc w:val="both"/>
        <w:rPr>
          <w:rFonts w:ascii="Times New Roman" w:hAnsi="Times New Roman" w:cs="Times New Roman"/>
          <w:sz w:val="24"/>
          <w:szCs w:val="24"/>
        </w:rPr>
      </w:pPr>
      <w:r w:rsidRPr="00615538">
        <w:rPr>
          <w:rFonts w:ascii="Times New Roman" w:hAnsi="Times New Roman" w:cs="Times New Roman"/>
          <w:b/>
          <w:bCs/>
          <w:sz w:val="24"/>
          <w:szCs w:val="24"/>
        </w:rPr>
        <w:t>- How can the value of distributed energy and load resources be captured in a reliability standard?</w:t>
      </w:r>
      <w:r w:rsidRPr="00615538">
        <w:rPr>
          <w:rFonts w:ascii="Times New Roman" w:hAnsi="Times New Roman" w:cs="Times New Roman"/>
          <w:sz w:val="24"/>
          <w:szCs w:val="24"/>
        </w:rPr>
        <w:t xml:space="preserve"> </w:t>
      </w:r>
    </w:p>
    <w:p w:rsidR="00F20D38" w:rsidRPr="00615538" w:rsidRDefault="00514076" w:rsidP="00514076">
      <w:pPr>
        <w:spacing w:line="480" w:lineRule="auto"/>
      </w:pPr>
      <w:r>
        <w:tab/>
      </w:r>
      <w:r w:rsidR="00F20D38" w:rsidRPr="00615538">
        <w:t>The correct accreditation of distributed energy is the first step in ensuring those resources are most accurately accounted for on the system.  If those generation types are recognized at their actual potential, a more accurate picture will be reflected in congestion studies and deliverability outcomes.</w:t>
      </w:r>
    </w:p>
    <w:p w:rsidR="00F20D38" w:rsidRPr="00615538" w:rsidRDefault="00F20D38" w:rsidP="00514076">
      <w:pPr>
        <w:pStyle w:val="xxmsonormal"/>
        <w:spacing w:before="0" w:beforeAutospacing="0" w:after="240" w:afterAutospacing="0"/>
        <w:jc w:val="both"/>
        <w:rPr>
          <w:rFonts w:ascii="Times New Roman" w:hAnsi="Times New Roman" w:cs="Times New Roman"/>
          <w:sz w:val="24"/>
          <w:szCs w:val="24"/>
        </w:rPr>
      </w:pPr>
      <w:r w:rsidRPr="00615538">
        <w:rPr>
          <w:rFonts w:ascii="Times New Roman" w:hAnsi="Times New Roman" w:cs="Times New Roman"/>
          <w:b/>
          <w:bCs/>
          <w:sz w:val="24"/>
          <w:szCs w:val="24"/>
        </w:rPr>
        <w:t xml:space="preserve">(4) How frequently should the Commission update the calculation of the requirement necessary to meet the reliability standard? </w:t>
      </w:r>
    </w:p>
    <w:p w:rsidR="00514076" w:rsidRDefault="00F20D38" w:rsidP="00514076">
      <w:pPr>
        <w:pStyle w:val="xxmsonormal"/>
        <w:spacing w:before="0" w:beforeAutospacing="0" w:after="240" w:afterAutospacing="0"/>
        <w:ind w:left="720"/>
        <w:jc w:val="both"/>
        <w:rPr>
          <w:rFonts w:ascii="Times New Roman" w:hAnsi="Times New Roman" w:cs="Times New Roman"/>
          <w:b/>
          <w:bCs/>
          <w:sz w:val="24"/>
          <w:szCs w:val="24"/>
        </w:rPr>
      </w:pPr>
      <w:r w:rsidRPr="00615538">
        <w:rPr>
          <w:rFonts w:ascii="Times New Roman" w:hAnsi="Times New Roman" w:cs="Times New Roman"/>
          <w:b/>
          <w:bCs/>
          <w:sz w:val="24"/>
          <w:szCs w:val="24"/>
        </w:rPr>
        <w:t xml:space="preserve">- What criteria should help determine the frequency of the update? </w:t>
      </w:r>
    </w:p>
    <w:p w:rsidR="00F20D38" w:rsidRPr="00615538" w:rsidRDefault="00514076" w:rsidP="00514076">
      <w:pPr>
        <w:spacing w:line="480" w:lineRule="auto"/>
      </w:pPr>
      <w:r>
        <w:tab/>
      </w:r>
      <w:r w:rsidR="00F20D38" w:rsidRPr="00615538">
        <w:t>With the continued advancement and speed of technology changes in generation as well as the characteristics of load, a regular review and assessment should be established.  While markets need some level of certainty</w:t>
      </w:r>
      <w:r w:rsidR="00F20D38">
        <w:t>,</w:t>
      </w:r>
      <w:r w:rsidR="00F20D38" w:rsidRPr="00615538">
        <w:t xml:space="preserve"> updates would benefit the system.  Reassessing these metrics every two to three years would strike a reasonable balance between providing market certainty and </w:t>
      </w:r>
      <w:r w:rsidR="00F20D38" w:rsidRPr="00615538">
        <w:lastRenderedPageBreak/>
        <w:t>ensuring the reliability metrics continue achieving their intended objectives.  This is an item that should be vetted in an open discussion with market participants to best understand the impacts of this standard to their individual operations.</w:t>
      </w:r>
    </w:p>
    <w:p w:rsidR="00F20D38" w:rsidRPr="00615538" w:rsidRDefault="00F20D38" w:rsidP="00F20D38">
      <w:pPr>
        <w:pStyle w:val="xmsonormal"/>
        <w:jc w:val="both"/>
        <w:rPr>
          <w:rFonts w:ascii="Times New Roman" w:hAnsi="Times New Roman" w:cs="Times New Roman"/>
          <w:b/>
          <w:bCs/>
          <w:sz w:val="24"/>
          <w:szCs w:val="24"/>
        </w:rPr>
      </w:pPr>
      <w:r w:rsidRPr="00615538">
        <w:rPr>
          <w:rFonts w:ascii="Times New Roman" w:hAnsi="Times New Roman" w:cs="Times New Roman"/>
          <w:b/>
          <w:bCs/>
          <w:sz w:val="24"/>
          <w:szCs w:val="24"/>
        </w:rPr>
        <w:t>(5) If you have any industry or academic papers on the topic and best practices that you believe the Commission should review while establishing the reliability standard for the ERCOT power region, please provide them.</w:t>
      </w:r>
    </w:p>
    <w:p w:rsidR="00F20D38" w:rsidRDefault="00F20D38" w:rsidP="00F20D38">
      <w:pPr>
        <w:pStyle w:val="xmsonormal"/>
        <w:jc w:val="both"/>
        <w:rPr>
          <w:rFonts w:ascii="Times New Roman" w:hAnsi="Times New Roman" w:cs="Times New Roman"/>
          <w:b/>
          <w:bCs/>
          <w:sz w:val="24"/>
          <w:szCs w:val="24"/>
        </w:rPr>
      </w:pPr>
    </w:p>
    <w:p w:rsidR="00091989" w:rsidRPr="00091989" w:rsidRDefault="00A97E2B" w:rsidP="00514076">
      <w:pPr>
        <w:pStyle w:val="xmsonormal"/>
        <w:ind w:firstLine="720"/>
        <w:jc w:val="both"/>
        <w:rPr>
          <w:rFonts w:ascii="Times New Roman" w:hAnsi="Times New Roman" w:cs="Times New Roman"/>
          <w:bCs/>
          <w:sz w:val="24"/>
          <w:szCs w:val="24"/>
        </w:rPr>
      </w:pPr>
      <w:r>
        <w:rPr>
          <w:rFonts w:ascii="Garamond" w:hAnsi="Garamond"/>
          <w:sz w:val="24"/>
          <w:szCs w:val="24"/>
        </w:rPr>
        <w:t>Please s</w:t>
      </w:r>
      <w:r w:rsidR="00091989">
        <w:rPr>
          <w:rFonts w:ascii="Garamond" w:hAnsi="Garamond"/>
          <w:sz w:val="24"/>
          <w:szCs w:val="24"/>
        </w:rPr>
        <w:t xml:space="preserve">ee </w:t>
      </w:r>
      <w:r>
        <w:rPr>
          <w:rFonts w:ascii="Garamond" w:hAnsi="Garamond"/>
          <w:sz w:val="24"/>
          <w:szCs w:val="24"/>
        </w:rPr>
        <w:t xml:space="preserve">the </w:t>
      </w:r>
      <w:r w:rsidRPr="00615538">
        <w:rPr>
          <w:rFonts w:ascii="Times New Roman" w:hAnsi="Times New Roman" w:cs="Times New Roman"/>
          <w:sz w:val="24"/>
          <w:szCs w:val="24"/>
        </w:rPr>
        <w:t>Energy System Integration Group (</w:t>
      </w:r>
      <w:r w:rsidR="00814B12">
        <w:rPr>
          <w:rFonts w:ascii="Times New Roman" w:hAnsi="Times New Roman" w:cs="Times New Roman"/>
          <w:sz w:val="24"/>
          <w:szCs w:val="24"/>
        </w:rPr>
        <w:t>“</w:t>
      </w:r>
      <w:r w:rsidRPr="00615538">
        <w:rPr>
          <w:rFonts w:ascii="Times New Roman" w:hAnsi="Times New Roman" w:cs="Times New Roman"/>
          <w:sz w:val="24"/>
          <w:szCs w:val="24"/>
        </w:rPr>
        <w:t>ESIG</w:t>
      </w:r>
      <w:r w:rsidR="00814B12">
        <w:rPr>
          <w:rFonts w:ascii="Times New Roman" w:hAnsi="Times New Roman" w:cs="Times New Roman"/>
          <w:sz w:val="24"/>
          <w:szCs w:val="24"/>
        </w:rPr>
        <w:t>”</w:t>
      </w:r>
      <w:r w:rsidRPr="00615538">
        <w:rPr>
          <w:rFonts w:ascii="Times New Roman" w:hAnsi="Times New Roman" w:cs="Times New Roman"/>
          <w:sz w:val="24"/>
          <w:szCs w:val="24"/>
        </w:rPr>
        <w:t>)</w:t>
      </w:r>
      <w:r w:rsidR="00091989">
        <w:rPr>
          <w:rFonts w:ascii="Garamond" w:hAnsi="Garamond"/>
          <w:sz w:val="24"/>
          <w:szCs w:val="24"/>
        </w:rPr>
        <w:t xml:space="preserve"> report attached</w:t>
      </w:r>
      <w:r w:rsidR="00514076">
        <w:rPr>
          <w:rFonts w:ascii="Garamond" w:hAnsi="Garamond"/>
          <w:sz w:val="24"/>
          <w:szCs w:val="24"/>
        </w:rPr>
        <w:t>.</w:t>
      </w:r>
    </w:p>
    <w:p w:rsidR="00091989" w:rsidRDefault="00091989" w:rsidP="00F20D38">
      <w:pPr>
        <w:pStyle w:val="xmsonormal"/>
        <w:jc w:val="both"/>
        <w:rPr>
          <w:rFonts w:ascii="Times New Roman" w:hAnsi="Times New Roman" w:cs="Times New Roman"/>
          <w:b/>
          <w:bCs/>
          <w:sz w:val="24"/>
          <w:szCs w:val="24"/>
        </w:rPr>
      </w:pPr>
    </w:p>
    <w:p w:rsidR="00091989" w:rsidRDefault="00091989" w:rsidP="00091989">
      <w:pPr>
        <w:pStyle w:val="Default"/>
        <w:spacing w:line="480" w:lineRule="auto"/>
        <w:ind w:firstLine="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Respectfully submitted, </w:t>
      </w:r>
    </w:p>
    <w:p w:rsidR="00091989" w:rsidRPr="0016018C" w:rsidRDefault="00091989" w:rsidP="00091989">
      <w:pPr>
        <w:keepNext/>
        <w:keepLines/>
        <w:ind w:left="4320"/>
        <w:rPr>
          <w:i/>
          <w:u w:val="single"/>
        </w:rPr>
      </w:pPr>
      <w:r w:rsidRPr="0016018C">
        <w:rPr>
          <w:i/>
          <w:u w:val="single"/>
        </w:rPr>
        <w:t>/s/</w:t>
      </w:r>
      <w:r>
        <w:rPr>
          <w:i/>
          <w:u w:val="single"/>
        </w:rPr>
        <w:t>Jack Clark III</w:t>
      </w:r>
      <w:r w:rsidRPr="0016018C">
        <w:rPr>
          <w:i/>
          <w:u w:val="single"/>
        </w:rPr>
        <w:t>                  </w:t>
      </w:r>
    </w:p>
    <w:p w:rsidR="00091989" w:rsidRDefault="00091989" w:rsidP="00091989">
      <w:pPr>
        <w:keepNext/>
        <w:keepLines/>
        <w:ind w:left="4320"/>
      </w:pPr>
      <w:r>
        <w:t>Jack Clark III</w:t>
      </w:r>
    </w:p>
    <w:p w:rsidR="00091989" w:rsidRDefault="00091989" w:rsidP="00091989">
      <w:pPr>
        <w:ind w:left="4320"/>
      </w:pPr>
      <w:r>
        <w:t>Director – Regulatory Affairs</w:t>
      </w:r>
    </w:p>
    <w:p w:rsidR="00091989" w:rsidRDefault="00091989" w:rsidP="00091989">
      <w:pPr>
        <w:ind w:left="4320"/>
      </w:pPr>
      <w:r>
        <w:t>NextEra Energy Resources, LLC</w:t>
      </w:r>
    </w:p>
    <w:p w:rsidR="00A97E2B" w:rsidRDefault="00A97E2B" w:rsidP="00A97E2B">
      <w:pPr>
        <w:ind w:left="4320"/>
      </w:pPr>
      <w:r>
        <w:t>5920 W. William Cannon Dr., Bldg. 2</w:t>
      </w:r>
    </w:p>
    <w:p w:rsidR="00A97E2B" w:rsidRDefault="00A97E2B" w:rsidP="00A97E2B">
      <w:pPr>
        <w:ind w:left="4320"/>
      </w:pPr>
      <w:r>
        <w:t>Austin, TX  78749</w:t>
      </w:r>
    </w:p>
    <w:p w:rsidR="00091989" w:rsidRDefault="00091989" w:rsidP="00091989">
      <w:pPr>
        <w:ind w:left="4320"/>
      </w:pPr>
      <w:r>
        <w:t>Telephone: (561) 304-6763</w:t>
      </w:r>
    </w:p>
    <w:p w:rsidR="00091989" w:rsidRDefault="00091989" w:rsidP="00091989">
      <w:pPr>
        <w:ind w:left="4320"/>
      </w:pPr>
      <w:r>
        <w:t>jack.clark</w:t>
      </w:r>
      <w:r w:rsidRPr="0016018C">
        <w:t>@nexteraenergy.com</w:t>
      </w:r>
      <w:r>
        <w:t xml:space="preserve"> </w:t>
      </w:r>
    </w:p>
    <w:p w:rsidR="00091989" w:rsidRDefault="00091989" w:rsidP="00091989">
      <w:pPr>
        <w:ind w:left="4320"/>
      </w:pPr>
    </w:p>
    <w:p w:rsidR="00091989" w:rsidRPr="00890499" w:rsidRDefault="00091989" w:rsidP="00091989">
      <w:pPr>
        <w:ind w:left="4320"/>
        <w:jc w:val="left"/>
        <w:rPr>
          <w:b/>
        </w:rPr>
      </w:pPr>
      <w:r>
        <w:rPr>
          <w:b/>
        </w:rPr>
        <w:t>NEXTERA ENERGY RESOURCES, LLC</w:t>
      </w:r>
    </w:p>
    <w:p w:rsidR="00091989" w:rsidRDefault="00091989" w:rsidP="00F20D38">
      <w:pPr>
        <w:pStyle w:val="xmsonormal"/>
        <w:jc w:val="both"/>
        <w:rPr>
          <w:rFonts w:ascii="Times New Roman" w:hAnsi="Times New Roman" w:cs="Times New Roman"/>
          <w:b/>
          <w:bCs/>
          <w:sz w:val="24"/>
          <w:szCs w:val="24"/>
        </w:rPr>
      </w:pPr>
    </w:p>
    <w:p w:rsidR="00091989" w:rsidRPr="00615538" w:rsidRDefault="00091989" w:rsidP="00F20D38">
      <w:pPr>
        <w:pStyle w:val="xmsonormal"/>
        <w:jc w:val="both"/>
        <w:rPr>
          <w:rFonts w:ascii="Times New Roman" w:hAnsi="Times New Roman" w:cs="Times New Roman"/>
          <w:b/>
          <w:bCs/>
          <w:sz w:val="24"/>
          <w:szCs w:val="24"/>
        </w:rPr>
      </w:pPr>
    </w:p>
    <w:p w:rsidR="00F20D38" w:rsidRPr="00615538" w:rsidRDefault="00F20D38" w:rsidP="00F20D38">
      <w:pPr>
        <w:spacing w:after="160" w:line="259" w:lineRule="auto"/>
        <w:rPr>
          <w:b/>
          <w:bCs/>
        </w:rPr>
      </w:pPr>
      <w:r w:rsidRPr="00615538">
        <w:rPr>
          <w:b/>
          <w:bCs/>
        </w:rPr>
        <w:br w:type="page"/>
      </w:r>
    </w:p>
    <w:p w:rsidR="00F20D38" w:rsidRPr="00615538" w:rsidRDefault="00F20D38" w:rsidP="00A97E2B">
      <w:pPr>
        <w:jc w:val="center"/>
        <w:rPr>
          <w:b/>
          <w:bCs/>
          <w:u w:val="single"/>
        </w:rPr>
      </w:pPr>
      <w:r w:rsidRPr="00615538">
        <w:rPr>
          <w:b/>
          <w:bCs/>
          <w:u w:val="single"/>
        </w:rPr>
        <w:lastRenderedPageBreak/>
        <w:t xml:space="preserve">EXECUTIVE SUMMARY </w:t>
      </w:r>
      <w:r w:rsidR="00A97E2B">
        <w:rPr>
          <w:b/>
          <w:bCs/>
          <w:u w:val="single"/>
        </w:rPr>
        <w:t xml:space="preserve">OF </w:t>
      </w:r>
      <w:r w:rsidRPr="00615538">
        <w:rPr>
          <w:b/>
          <w:bCs/>
          <w:u w:val="single"/>
        </w:rPr>
        <w:t>NEXTERA ENERGY RESOURCES</w:t>
      </w:r>
      <w:r w:rsidR="00A97E2B">
        <w:rPr>
          <w:b/>
          <w:bCs/>
          <w:u w:val="single"/>
        </w:rPr>
        <w:t>, LLC’S</w:t>
      </w:r>
      <w:r w:rsidRPr="00615538">
        <w:rPr>
          <w:b/>
          <w:bCs/>
          <w:u w:val="single"/>
        </w:rPr>
        <w:t xml:space="preserve"> COMMENTS ON THE RELIABILITY STANDARD</w:t>
      </w:r>
    </w:p>
    <w:p w:rsidR="00F20D38" w:rsidRPr="00615538" w:rsidRDefault="00F20D38" w:rsidP="00F20D38">
      <w:pPr>
        <w:pStyle w:val="xmsonormal"/>
        <w:jc w:val="both"/>
        <w:rPr>
          <w:rFonts w:ascii="Times New Roman" w:hAnsi="Times New Roman" w:cs="Times New Roman"/>
          <w:sz w:val="24"/>
          <w:szCs w:val="24"/>
        </w:rPr>
      </w:pPr>
    </w:p>
    <w:p w:rsidR="00F20D38" w:rsidRPr="00615538" w:rsidRDefault="00F20D38" w:rsidP="00F20D38">
      <w:pPr>
        <w:pStyle w:val="xmsonormal"/>
        <w:ind w:firstLine="720"/>
        <w:jc w:val="both"/>
        <w:rPr>
          <w:rFonts w:ascii="Times New Roman" w:hAnsi="Times New Roman" w:cs="Times New Roman"/>
          <w:sz w:val="24"/>
          <w:szCs w:val="24"/>
        </w:rPr>
      </w:pPr>
      <w:r w:rsidRPr="00615538">
        <w:rPr>
          <w:rFonts w:ascii="Times New Roman" w:hAnsi="Times New Roman" w:cs="Times New Roman"/>
          <w:sz w:val="24"/>
          <w:szCs w:val="24"/>
        </w:rPr>
        <w:t>NextEra supports the Commission’s plan to further study various reliability metrics (including LOLE, LOLH, and EUE) to determine the best standard to support the overall goal of more reliability and resiliency on the ERCOT system.  The studies and analysis to be performed should use various sensitivities to yield results to be discussed in ERCOT stakeholder meetings as it is imperative that all stakeholders are able to provide input and feedback to ensure the best outcome.  As a starting point, NextEra does believe that keeping LOLE is important, and if other metrics can be added for a more complete picture as a result of analysis from Astrap</w:t>
      </w:r>
      <w:r w:rsidR="00C30507">
        <w:t>é</w:t>
      </w:r>
      <w:r w:rsidRPr="00615538">
        <w:rPr>
          <w:rFonts w:ascii="Times New Roman" w:hAnsi="Times New Roman" w:cs="Times New Roman"/>
          <w:sz w:val="24"/>
          <w:szCs w:val="24"/>
        </w:rPr>
        <w:t xml:space="preserve"> then those should be considered.</w:t>
      </w:r>
    </w:p>
    <w:p w:rsidR="00F20D38" w:rsidRPr="00615538" w:rsidRDefault="00F20D38" w:rsidP="00F20D38">
      <w:pPr>
        <w:pStyle w:val="xmsonormal"/>
        <w:jc w:val="both"/>
        <w:rPr>
          <w:rFonts w:ascii="Times New Roman" w:hAnsi="Times New Roman" w:cs="Times New Roman"/>
          <w:sz w:val="24"/>
          <w:szCs w:val="24"/>
        </w:rPr>
      </w:pPr>
    </w:p>
    <w:p w:rsidR="00F20D38" w:rsidRPr="00615538" w:rsidRDefault="00F20D38" w:rsidP="00A97E2B">
      <w:pPr>
        <w:pStyle w:val="xmsonormal"/>
        <w:ind w:firstLine="720"/>
        <w:jc w:val="both"/>
        <w:rPr>
          <w:rFonts w:ascii="Times New Roman" w:hAnsi="Times New Roman" w:cs="Times New Roman"/>
          <w:sz w:val="24"/>
          <w:szCs w:val="24"/>
        </w:rPr>
      </w:pPr>
      <w:r w:rsidRPr="00615538">
        <w:rPr>
          <w:rFonts w:ascii="Times New Roman" w:hAnsi="Times New Roman" w:cs="Times New Roman"/>
          <w:sz w:val="24"/>
          <w:szCs w:val="24"/>
        </w:rPr>
        <w:t xml:space="preserve">In determining which metric or metrics are ultimately used, NextEra believes that there are still questions to be considered and discussed in stakeholder meetings with ERCOT.  Questions such as: How will the reliability standard be incorporated into PCM?  </w:t>
      </w:r>
      <w:r w:rsidR="00A97E2B">
        <w:rPr>
          <w:rFonts w:ascii="Times New Roman" w:hAnsi="Times New Roman" w:cs="Times New Roman"/>
          <w:sz w:val="24"/>
          <w:szCs w:val="24"/>
        </w:rPr>
        <w:t xml:space="preserve"> </w:t>
      </w:r>
      <w:r w:rsidRPr="00615538">
        <w:rPr>
          <w:rFonts w:ascii="Times New Roman" w:hAnsi="Times New Roman" w:cs="Times New Roman"/>
          <w:sz w:val="24"/>
          <w:szCs w:val="24"/>
        </w:rPr>
        <w:t>Will a target operating margin be determined for the top 30 (or similar) hours with the lowest margin based on LOLP studies?</w:t>
      </w:r>
      <w:r w:rsidR="00A97E2B">
        <w:rPr>
          <w:rFonts w:ascii="Times New Roman" w:hAnsi="Times New Roman" w:cs="Times New Roman"/>
          <w:sz w:val="24"/>
          <w:szCs w:val="24"/>
        </w:rPr>
        <w:t xml:space="preserve"> </w:t>
      </w:r>
      <w:r w:rsidRPr="00615538">
        <w:rPr>
          <w:rFonts w:ascii="Times New Roman" w:hAnsi="Times New Roman" w:cs="Times New Roman"/>
          <w:sz w:val="24"/>
          <w:szCs w:val="24"/>
        </w:rPr>
        <w:t xml:space="preserve"> How will the demand curve be constructed and how will it reflect generator revenues from energy and ancillary markets? </w:t>
      </w:r>
      <w:r w:rsidR="00A97E2B">
        <w:rPr>
          <w:rFonts w:ascii="Times New Roman" w:hAnsi="Times New Roman" w:cs="Times New Roman"/>
          <w:sz w:val="24"/>
          <w:szCs w:val="24"/>
        </w:rPr>
        <w:t xml:space="preserve"> </w:t>
      </w:r>
      <w:r w:rsidRPr="00615538">
        <w:rPr>
          <w:rFonts w:ascii="Times New Roman" w:hAnsi="Times New Roman" w:cs="Times New Roman"/>
          <w:sz w:val="24"/>
          <w:szCs w:val="24"/>
        </w:rPr>
        <w:t>How will the cost of new entry that forms the basis for the demand curve be determined, and how will the demand curve development process address changes in the marginal technology over time?</w:t>
      </w:r>
    </w:p>
    <w:p w:rsidR="00F20D38" w:rsidRPr="00615538" w:rsidRDefault="00F20D38" w:rsidP="00F20D38">
      <w:pPr>
        <w:pStyle w:val="xmsonormal"/>
        <w:jc w:val="both"/>
        <w:rPr>
          <w:rFonts w:ascii="Times New Roman" w:hAnsi="Times New Roman" w:cs="Times New Roman"/>
          <w:sz w:val="24"/>
          <w:szCs w:val="24"/>
        </w:rPr>
      </w:pPr>
    </w:p>
    <w:p w:rsidR="00F20D38" w:rsidRPr="00615538" w:rsidRDefault="00F20D38" w:rsidP="00A97E2B">
      <w:pPr>
        <w:pStyle w:val="xmsonormal"/>
        <w:ind w:firstLine="720"/>
        <w:jc w:val="both"/>
        <w:rPr>
          <w:rFonts w:ascii="Times New Roman" w:hAnsi="Times New Roman" w:cs="Times New Roman"/>
          <w:sz w:val="24"/>
          <w:szCs w:val="24"/>
        </w:rPr>
      </w:pPr>
      <w:r w:rsidRPr="00615538">
        <w:rPr>
          <w:rFonts w:ascii="Times New Roman" w:hAnsi="Times New Roman" w:cs="Times New Roman"/>
          <w:sz w:val="24"/>
          <w:szCs w:val="24"/>
        </w:rPr>
        <w:t>NextEra believes correct accreditation of all resources is an element of the reliability standard along with a frequent review of the to be determined standard.  NextEra initially thinks every two to three years would be a starting point to consider in the timing of assessing reliability metrics.</w:t>
      </w:r>
    </w:p>
    <w:p w:rsidR="00F20D38" w:rsidRPr="00615538" w:rsidRDefault="00F20D38" w:rsidP="00F20D38">
      <w:pPr>
        <w:pStyle w:val="xmsonormal"/>
        <w:jc w:val="both"/>
        <w:rPr>
          <w:rFonts w:ascii="Times New Roman" w:hAnsi="Times New Roman" w:cs="Times New Roman"/>
          <w:sz w:val="24"/>
          <w:szCs w:val="24"/>
        </w:rPr>
      </w:pPr>
    </w:p>
    <w:p w:rsidR="00F20D38" w:rsidRPr="00615538" w:rsidRDefault="00F20D38" w:rsidP="00A97E2B">
      <w:pPr>
        <w:pStyle w:val="xmsonormal"/>
        <w:ind w:firstLine="720"/>
        <w:jc w:val="both"/>
        <w:rPr>
          <w:rFonts w:ascii="Times New Roman" w:hAnsi="Times New Roman" w:cs="Times New Roman"/>
          <w:sz w:val="24"/>
          <w:szCs w:val="24"/>
        </w:rPr>
      </w:pPr>
      <w:r w:rsidRPr="00615538">
        <w:rPr>
          <w:rFonts w:ascii="Times New Roman" w:hAnsi="Times New Roman" w:cs="Times New Roman"/>
          <w:sz w:val="24"/>
          <w:szCs w:val="24"/>
        </w:rPr>
        <w:t xml:space="preserve">Regarding a seasonal component to the reliability standard, NextEra sees value in that more granular picture, but believes the additional complexity should be weighed against potential cost savings from adopting a seasonal reliability metric.  </w:t>
      </w:r>
    </w:p>
    <w:p w:rsidR="00F20D38" w:rsidRPr="00615538" w:rsidRDefault="00F20D38" w:rsidP="00F20D38">
      <w:pPr>
        <w:pStyle w:val="xmsonormal"/>
        <w:jc w:val="both"/>
        <w:rPr>
          <w:rFonts w:ascii="Times New Roman" w:hAnsi="Times New Roman" w:cs="Times New Roman"/>
          <w:sz w:val="24"/>
          <w:szCs w:val="24"/>
        </w:rPr>
      </w:pPr>
    </w:p>
    <w:p w:rsidR="00F20D38" w:rsidRPr="00615538" w:rsidRDefault="00F20D38" w:rsidP="00A97E2B">
      <w:pPr>
        <w:pStyle w:val="xmsonormal"/>
        <w:ind w:firstLine="720"/>
        <w:jc w:val="both"/>
        <w:rPr>
          <w:rFonts w:ascii="Times New Roman" w:hAnsi="Times New Roman" w:cs="Times New Roman"/>
          <w:sz w:val="24"/>
          <w:szCs w:val="24"/>
        </w:rPr>
      </w:pPr>
      <w:r w:rsidRPr="00615538">
        <w:rPr>
          <w:rFonts w:ascii="Times New Roman" w:hAnsi="Times New Roman" w:cs="Times New Roman"/>
          <w:sz w:val="24"/>
          <w:szCs w:val="24"/>
        </w:rPr>
        <w:t>There are not only industry and academic papers on reliability standard to be referenced (to which NextEra is submitting a whitepaper from the ESIG), but other RTO/ISOs are going through the same review and it is important to take into account other markets’ progress in addition to industry/academic papers to ultimately find the best fit for Texas.</w:t>
      </w:r>
    </w:p>
    <w:p w:rsidR="00F20D38" w:rsidRPr="00615538" w:rsidRDefault="00F20D38" w:rsidP="00F20D38">
      <w:pPr>
        <w:pStyle w:val="xmsonormal"/>
        <w:jc w:val="both"/>
        <w:rPr>
          <w:rFonts w:ascii="Times New Roman" w:hAnsi="Times New Roman" w:cs="Times New Roman"/>
          <w:sz w:val="24"/>
          <w:szCs w:val="24"/>
        </w:rPr>
      </w:pPr>
    </w:p>
    <w:p w:rsidR="00F20D38" w:rsidRDefault="00F20D38" w:rsidP="0018643B"/>
    <w:p w:rsidR="00091989" w:rsidRDefault="00091989" w:rsidP="0018643B"/>
    <w:p w:rsidR="00091989" w:rsidRPr="0018643B" w:rsidRDefault="00091989" w:rsidP="0018643B"/>
    <w:sectPr w:rsidR="00091989" w:rsidRPr="0018643B" w:rsidSect="001A5997">
      <w:foot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0D38" w:rsidRDefault="00F20D38" w:rsidP="00265F9D">
      <w:r>
        <w:separator/>
      </w:r>
    </w:p>
  </w:endnote>
  <w:endnote w:type="continuationSeparator" w:id="0">
    <w:p w:rsidR="00F20D38" w:rsidRDefault="00F20D38"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396527"/>
      <w:docPartObj>
        <w:docPartGallery w:val="Page Numbers (Bottom of Page)"/>
        <w:docPartUnique/>
      </w:docPartObj>
    </w:sdtPr>
    <w:sdtEndPr>
      <w:rPr>
        <w:noProof/>
      </w:rPr>
    </w:sdtEndPr>
    <w:sdtContent>
      <w:p w:rsidR="00191A66" w:rsidRDefault="00191A66">
        <w:pPr>
          <w:pStyle w:val="Footer"/>
          <w:jc w:val="center"/>
        </w:pPr>
      </w:p>
      <w:p w:rsidR="00191A66" w:rsidRDefault="00191A6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0D38" w:rsidRDefault="00F20D38" w:rsidP="00265F9D">
      <w:r>
        <w:separator/>
      </w:r>
    </w:p>
  </w:footnote>
  <w:footnote w:type="continuationSeparator" w:id="0">
    <w:p w:rsidR="00F20D38" w:rsidRDefault="00F20D38" w:rsidP="00265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264C3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118F0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6D0FF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0AC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3FA06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60C202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8782E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8639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EA417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3088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7D2DC8"/>
    <w:multiLevelType w:val="hybridMultilevel"/>
    <w:tmpl w:val="382AF632"/>
    <w:lvl w:ilvl="0" w:tplc="5C4076B4">
      <w:start w:val="1"/>
      <w:numFmt w:val="upperLetter"/>
      <w:lvlText w:val="%1."/>
      <w:lvlJc w:val="left"/>
      <w:pPr>
        <w:ind w:left="3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A23D8"/>
    <w:multiLevelType w:val="hybridMultilevel"/>
    <w:tmpl w:val="E732E630"/>
    <w:lvl w:ilvl="0" w:tplc="845AEEEC">
      <w:start w:val="1"/>
      <w:numFmt w:val="decimal"/>
      <w:lvlText w:val="%1."/>
      <w:lvlJc w:val="left"/>
      <w:pPr>
        <w:ind w:left="108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139D3"/>
    <w:multiLevelType w:val="hybridMultilevel"/>
    <w:tmpl w:val="93A213D8"/>
    <w:lvl w:ilvl="0" w:tplc="A6326632">
      <w:start w:val="1"/>
      <w:numFmt w:val="lowerLetter"/>
      <w:lvlText w:val="%1."/>
      <w:lvlJc w:val="left"/>
      <w:pPr>
        <w:ind w:left="180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B0667"/>
    <w:multiLevelType w:val="hybridMultilevel"/>
    <w:tmpl w:val="818EA026"/>
    <w:lvl w:ilvl="0" w:tplc="6C300F8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73692"/>
    <w:multiLevelType w:val="hybridMultilevel"/>
    <w:tmpl w:val="DBF84A1C"/>
    <w:lvl w:ilvl="0" w:tplc="0B8AEDCA">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E10427"/>
    <w:multiLevelType w:val="multilevel"/>
    <w:tmpl w:val="E458952E"/>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6" w15:restartNumberingAfterBreak="0">
    <w:nsid w:val="40C7554E"/>
    <w:multiLevelType w:val="hybridMultilevel"/>
    <w:tmpl w:val="CE5E8082"/>
    <w:lvl w:ilvl="0" w:tplc="8842F6F8">
      <w:start w:val="1"/>
      <w:numFmt w:val="lowerLetter"/>
      <w:lvlText w:val="(%1)"/>
      <w:lvlJc w:val="left"/>
      <w:pPr>
        <w:ind w:left="324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BF0610"/>
    <w:multiLevelType w:val="hybridMultilevel"/>
    <w:tmpl w:val="2E14120A"/>
    <w:lvl w:ilvl="0" w:tplc="4A647032">
      <w:start w:val="1"/>
      <w:numFmt w:val="lowerRoman"/>
      <w:lvlText w:val="%1)"/>
      <w:lvlJc w:val="left"/>
      <w:pPr>
        <w:ind w:left="39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A35F14"/>
    <w:multiLevelType w:val="hybridMultilevel"/>
    <w:tmpl w:val="0BDEA02E"/>
    <w:lvl w:ilvl="0" w:tplc="AF8642C4">
      <w:start w:val="1"/>
      <w:numFmt w:val="decimal"/>
      <w:lvlText w:val="(%1)"/>
      <w:lvlJc w:val="left"/>
      <w:pPr>
        <w:ind w:left="25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886F05"/>
    <w:multiLevelType w:val="hybridMultilevel"/>
    <w:tmpl w:val="B970AF08"/>
    <w:lvl w:ilvl="0" w:tplc="55A28F7A">
      <w:start w:val="1"/>
      <w:numFmt w:val="upperRoman"/>
      <w:lvlText w:val="%1."/>
      <w:lvlJc w:val="left"/>
      <w:pPr>
        <w:ind w:left="1080" w:hanging="72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BEA69D9"/>
    <w:multiLevelType w:val="hybridMultilevel"/>
    <w:tmpl w:val="088E8D36"/>
    <w:lvl w:ilvl="0" w:tplc="C5D8A2CC">
      <w:start w:val="1"/>
      <w:numFmt w:val="decimal"/>
      <w:lvlText w:val="%1)"/>
      <w:lvlJc w:val="left"/>
      <w:pPr>
        <w:ind w:left="540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475AD0"/>
    <w:multiLevelType w:val="hybridMultilevel"/>
    <w:tmpl w:val="F7EA56EA"/>
    <w:lvl w:ilvl="0" w:tplc="B4AA5628">
      <w:start w:val="1"/>
      <w:numFmt w:val="upperRoman"/>
      <w:lvlText w:val="%1."/>
      <w:lvlJc w:val="center"/>
      <w:pPr>
        <w:ind w:left="3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9F6227"/>
    <w:multiLevelType w:val="hybridMultilevel"/>
    <w:tmpl w:val="0B88B40C"/>
    <w:lvl w:ilvl="0" w:tplc="DA86F0E4">
      <w:start w:val="1"/>
      <w:numFmt w:val="lowerLetter"/>
      <w:lvlText w:val="%1)"/>
      <w:lvlJc w:val="left"/>
      <w:pPr>
        <w:ind w:left="4770" w:hanging="360"/>
      </w:pPr>
      <w:rPr>
        <w:rFonts w:ascii="Times New Roman" w:hAnsi="Times New Roman" w:hint="default"/>
        <w:b/>
        <w:i w:val="0"/>
        <w:sz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10"/>
  </w:num>
  <w:num w:numId="13">
    <w:abstractNumId w:val="11"/>
  </w:num>
  <w:num w:numId="14">
    <w:abstractNumId w:val="12"/>
  </w:num>
  <w:num w:numId="15">
    <w:abstractNumId w:val="18"/>
  </w:num>
  <w:num w:numId="16">
    <w:abstractNumId w:val="16"/>
  </w:num>
  <w:num w:numId="17">
    <w:abstractNumId w:val="17"/>
  </w:num>
  <w:num w:numId="18">
    <w:abstractNumId w:val="23"/>
  </w:num>
  <w:num w:numId="19">
    <w:abstractNumId w:val="20"/>
  </w:num>
  <w:num w:numId="20">
    <w:abstractNumId w:val="10"/>
    <w:lvlOverride w:ilvl="0">
      <w:startOverride w:val="1"/>
    </w:lvlOverride>
  </w:num>
  <w:num w:numId="21">
    <w:abstractNumId w:val="10"/>
    <w:lvlOverride w:ilvl="0">
      <w:startOverride w:val="1"/>
    </w:lvlOverride>
  </w:num>
  <w:num w:numId="22">
    <w:abstractNumId w:val="10"/>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4"/>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3"/>
  </w:num>
  <w:num w:numId="37">
    <w:abstractNumId w:val="21"/>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F9D"/>
    <w:rsid w:val="00091989"/>
    <w:rsid w:val="00152F28"/>
    <w:rsid w:val="001667C6"/>
    <w:rsid w:val="0018643B"/>
    <w:rsid w:val="00191A66"/>
    <w:rsid w:val="0019639C"/>
    <w:rsid w:val="001A5997"/>
    <w:rsid w:val="001D3139"/>
    <w:rsid w:val="00265F9D"/>
    <w:rsid w:val="002908D6"/>
    <w:rsid w:val="002D65CA"/>
    <w:rsid w:val="002F6AA6"/>
    <w:rsid w:val="00310B50"/>
    <w:rsid w:val="0038783A"/>
    <w:rsid w:val="00392B21"/>
    <w:rsid w:val="00514076"/>
    <w:rsid w:val="0053039F"/>
    <w:rsid w:val="00544E40"/>
    <w:rsid w:val="00584C91"/>
    <w:rsid w:val="005879DA"/>
    <w:rsid w:val="00637588"/>
    <w:rsid w:val="0068215A"/>
    <w:rsid w:val="006E10DA"/>
    <w:rsid w:val="00712A19"/>
    <w:rsid w:val="0074707D"/>
    <w:rsid w:val="007A0E3F"/>
    <w:rsid w:val="00814B12"/>
    <w:rsid w:val="00820669"/>
    <w:rsid w:val="00826870"/>
    <w:rsid w:val="00842E91"/>
    <w:rsid w:val="008773F3"/>
    <w:rsid w:val="00894450"/>
    <w:rsid w:val="008A6B00"/>
    <w:rsid w:val="0097456C"/>
    <w:rsid w:val="009E761F"/>
    <w:rsid w:val="00A1507E"/>
    <w:rsid w:val="00A24076"/>
    <w:rsid w:val="00A97E2B"/>
    <w:rsid w:val="00AF5B5F"/>
    <w:rsid w:val="00B30DA5"/>
    <w:rsid w:val="00BC19A8"/>
    <w:rsid w:val="00C13BFE"/>
    <w:rsid w:val="00C15EF0"/>
    <w:rsid w:val="00C30507"/>
    <w:rsid w:val="00C408DD"/>
    <w:rsid w:val="00C96FBC"/>
    <w:rsid w:val="00CA581E"/>
    <w:rsid w:val="00CD5CB4"/>
    <w:rsid w:val="00D23EF7"/>
    <w:rsid w:val="00D80948"/>
    <w:rsid w:val="00E10D1F"/>
    <w:rsid w:val="00E46E3D"/>
    <w:rsid w:val="00E83B9E"/>
    <w:rsid w:val="00EC6FF3"/>
    <w:rsid w:val="00F20D38"/>
    <w:rsid w:val="00F23309"/>
    <w:rsid w:val="00F97AE8"/>
    <w:rsid w:val="00FD2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643B"/>
    <w:pPr>
      <w:tabs>
        <w:tab w:val="left" w:pos="720"/>
      </w:tabs>
    </w:pPr>
  </w:style>
  <w:style w:type="paragraph" w:styleId="Heading1">
    <w:name w:val="heading 1"/>
    <w:basedOn w:val="Normal"/>
    <w:next w:val="Normal"/>
    <w:link w:val="Heading1Char"/>
    <w:uiPriority w:val="9"/>
    <w:rsid w:val="00C13BFE"/>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rsid w:val="00392B2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92B21"/>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65F9D"/>
    <w:rPr>
      <w:sz w:val="20"/>
      <w:szCs w:val="20"/>
    </w:rPr>
  </w:style>
  <w:style w:type="character" w:customStyle="1" w:styleId="FootnoteTextChar">
    <w:name w:val="Footnote Text Char"/>
    <w:basedOn w:val="DefaultParagraphFont"/>
    <w:link w:val="FootnoteText"/>
    <w:uiPriority w:val="99"/>
    <w:semiHidden/>
    <w:rsid w:val="00265F9D"/>
    <w:rPr>
      <w:sz w:val="20"/>
      <w:szCs w:val="20"/>
    </w:rPr>
  </w:style>
  <w:style w:type="character" w:styleId="FootnoteReference">
    <w:name w:val="footnote reference"/>
    <w:basedOn w:val="DefaultParagraphFont"/>
    <w:uiPriority w:val="99"/>
    <w:semiHidden/>
    <w:unhideWhenUsed/>
    <w:rsid w:val="00265F9D"/>
    <w:rPr>
      <w:vertAlign w:val="superscript"/>
    </w:rPr>
  </w:style>
  <w:style w:type="paragraph" w:styleId="BalloonText">
    <w:name w:val="Balloon Text"/>
    <w:basedOn w:val="Normal"/>
    <w:link w:val="BalloonTextChar"/>
    <w:uiPriority w:val="99"/>
    <w:semiHidden/>
    <w:unhideWhenUsed/>
    <w:rsid w:val="00C15E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EF0"/>
    <w:rPr>
      <w:rFonts w:ascii="Segoe UI" w:hAnsi="Segoe UI" w:cs="Segoe UI"/>
      <w:sz w:val="18"/>
      <w:szCs w:val="18"/>
    </w:rPr>
  </w:style>
  <w:style w:type="character" w:customStyle="1" w:styleId="Heading1Char">
    <w:name w:val="Heading 1 Char"/>
    <w:basedOn w:val="DefaultParagraphFont"/>
    <w:link w:val="Heading1"/>
    <w:uiPriority w:val="9"/>
    <w:rsid w:val="00C13BFE"/>
    <w:rPr>
      <w:rFonts w:eastAsiaTheme="majorEastAsia" w:cstheme="majorBidi"/>
      <w:b/>
      <w:szCs w:val="32"/>
    </w:rPr>
  </w:style>
  <w:style w:type="character" w:customStyle="1" w:styleId="Heading2Char">
    <w:name w:val="Heading 2 Char"/>
    <w:basedOn w:val="DefaultParagraphFont"/>
    <w:link w:val="Heading2"/>
    <w:uiPriority w:val="9"/>
    <w:semiHidden/>
    <w:rsid w:val="00392B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92B21"/>
    <w:rPr>
      <w:rFonts w:asciiTheme="majorHAnsi" w:eastAsiaTheme="majorEastAsia" w:hAnsiTheme="majorHAnsi" w:cstheme="majorBidi"/>
      <w:color w:val="1F4D78" w:themeColor="accent1" w:themeShade="7F"/>
    </w:rPr>
  </w:style>
  <w:style w:type="paragraph" w:styleId="TOC1">
    <w:name w:val="toc 1"/>
    <w:basedOn w:val="Normal"/>
    <w:next w:val="Normal"/>
    <w:uiPriority w:val="39"/>
    <w:unhideWhenUsed/>
    <w:rsid w:val="001667C6"/>
    <w:pPr>
      <w:tabs>
        <w:tab w:val="right" w:leader="dot" w:pos="9346"/>
      </w:tabs>
      <w:spacing w:after="120"/>
      <w:ind w:left="720" w:right="720" w:hanging="720"/>
      <w:jc w:val="left"/>
    </w:pPr>
  </w:style>
  <w:style w:type="paragraph" w:styleId="TOC2">
    <w:name w:val="toc 2"/>
    <w:basedOn w:val="Normal"/>
    <w:next w:val="Normal"/>
    <w:uiPriority w:val="39"/>
    <w:unhideWhenUsed/>
    <w:rsid w:val="001667C6"/>
    <w:pPr>
      <w:tabs>
        <w:tab w:val="right" w:leader="dot" w:pos="9350"/>
      </w:tabs>
      <w:spacing w:after="120"/>
      <w:ind w:left="1440" w:right="720" w:hanging="720"/>
      <w:jc w:val="left"/>
    </w:pPr>
  </w:style>
  <w:style w:type="paragraph" w:styleId="TOC3">
    <w:name w:val="toc 3"/>
    <w:basedOn w:val="Normal"/>
    <w:next w:val="Normal"/>
    <w:uiPriority w:val="39"/>
    <w:unhideWhenUsed/>
    <w:rsid w:val="001667C6"/>
    <w:pPr>
      <w:tabs>
        <w:tab w:val="left" w:pos="2160"/>
        <w:tab w:val="right" w:leader="dot" w:pos="9350"/>
      </w:tabs>
      <w:ind w:left="2160" w:right="720" w:hanging="720"/>
      <w:jc w:val="left"/>
    </w:pPr>
  </w:style>
  <w:style w:type="paragraph" w:styleId="TOC4">
    <w:name w:val="toc 4"/>
    <w:basedOn w:val="Normal"/>
    <w:next w:val="Normal"/>
    <w:uiPriority w:val="39"/>
    <w:unhideWhenUsed/>
    <w:rsid w:val="00392B21"/>
    <w:pPr>
      <w:tabs>
        <w:tab w:val="left" w:pos="2160"/>
        <w:tab w:val="right" w:leader="dot" w:pos="9350"/>
      </w:tabs>
      <w:ind w:left="2880" w:right="720" w:hanging="720"/>
    </w:pPr>
  </w:style>
  <w:style w:type="paragraph" w:styleId="TOC5">
    <w:name w:val="toc 5"/>
    <w:basedOn w:val="Normal"/>
    <w:next w:val="Normal"/>
    <w:uiPriority w:val="39"/>
    <w:unhideWhenUsed/>
    <w:rsid w:val="00AF5B5F"/>
    <w:pPr>
      <w:tabs>
        <w:tab w:val="left" w:pos="3600"/>
        <w:tab w:val="right" w:leader="dot" w:pos="9350"/>
      </w:tabs>
      <w:ind w:left="3600" w:right="720" w:hanging="720"/>
      <w:jc w:val="left"/>
    </w:pPr>
  </w:style>
  <w:style w:type="paragraph" w:styleId="TOC6">
    <w:name w:val="toc 6"/>
    <w:basedOn w:val="Normal"/>
    <w:next w:val="Normal"/>
    <w:uiPriority w:val="39"/>
    <w:unhideWhenUsed/>
    <w:rsid w:val="00AF5B5F"/>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AF5B5F"/>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AF5B5F"/>
    <w:pPr>
      <w:tabs>
        <w:tab w:val="left" w:pos="5760"/>
        <w:tab w:val="right" w:leader="dot" w:pos="9346"/>
      </w:tabs>
      <w:ind w:left="5760" w:right="720" w:hanging="720"/>
      <w:jc w:val="left"/>
    </w:pPr>
  </w:style>
  <w:style w:type="paragraph" w:styleId="TOC9">
    <w:name w:val="toc 9"/>
    <w:basedOn w:val="Normal"/>
    <w:next w:val="Normal"/>
    <w:uiPriority w:val="39"/>
    <w:unhideWhenUsed/>
    <w:rsid w:val="002908D6"/>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74707D"/>
    <w:pPr>
      <w:keepLines/>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8A6B00"/>
    <w:pPr>
      <w:spacing w:line="480" w:lineRule="auto"/>
      <w:ind w:left="720" w:hanging="720"/>
    </w:pPr>
  </w:style>
  <w:style w:type="paragraph" w:customStyle="1" w:styleId="CROutline1">
    <w:name w:val="CR Outline1"/>
    <w:next w:val="Normal"/>
    <w:qFormat/>
    <w:rsid w:val="0074707D"/>
    <w:pPr>
      <w:keepNext/>
      <w:keepLines/>
      <w:numPr>
        <w:numId w:val="35"/>
      </w:numPr>
      <w:tabs>
        <w:tab w:val="clear" w:pos="1152"/>
      </w:tabs>
      <w:spacing w:after="240"/>
      <w:ind w:left="0" w:firstLine="0"/>
      <w:jc w:val="center"/>
      <w:outlineLvl w:val="0"/>
    </w:pPr>
    <w:rPr>
      <w:rFonts w:ascii="Times New Roman Bold" w:eastAsia="Times New Roman" w:hAnsi="Times New Roman Bold"/>
      <w:b/>
      <w:caps/>
    </w:rPr>
  </w:style>
  <w:style w:type="paragraph" w:customStyle="1" w:styleId="CROutline2">
    <w:name w:val="CR Outline2"/>
    <w:next w:val="Normal"/>
    <w:qFormat/>
    <w:rsid w:val="00CD5CB4"/>
    <w:pPr>
      <w:numPr>
        <w:ilvl w:val="1"/>
        <w:numId w:val="35"/>
      </w:numPr>
      <w:spacing w:after="240"/>
      <w:ind w:left="720"/>
      <w:outlineLvl w:val="1"/>
    </w:pPr>
    <w:rPr>
      <w:rFonts w:eastAsia="Times New Roman"/>
      <w:b/>
    </w:rPr>
  </w:style>
  <w:style w:type="paragraph" w:customStyle="1" w:styleId="CROutline3">
    <w:name w:val="CR Outline3"/>
    <w:next w:val="Normal"/>
    <w:qFormat/>
    <w:rsid w:val="001D3139"/>
    <w:pPr>
      <w:numPr>
        <w:ilvl w:val="2"/>
        <w:numId w:val="35"/>
      </w:numPr>
      <w:tabs>
        <w:tab w:val="clear" w:pos="1152"/>
        <w:tab w:val="left" w:pos="1440"/>
      </w:tabs>
      <w:spacing w:after="240"/>
      <w:ind w:left="1440"/>
      <w:outlineLvl w:val="2"/>
    </w:pPr>
    <w:rPr>
      <w:rFonts w:eastAsia="Times New Roman"/>
      <w:b/>
    </w:rPr>
  </w:style>
  <w:style w:type="paragraph" w:customStyle="1" w:styleId="CROutline4">
    <w:name w:val="CR Outline4"/>
    <w:next w:val="Normal"/>
    <w:rsid w:val="0053039F"/>
    <w:pPr>
      <w:numPr>
        <w:ilvl w:val="3"/>
        <w:numId w:val="35"/>
      </w:numPr>
      <w:tabs>
        <w:tab w:val="left" w:pos="2160"/>
      </w:tabs>
      <w:spacing w:after="240"/>
      <w:ind w:left="2160"/>
      <w:outlineLvl w:val="3"/>
    </w:pPr>
    <w:rPr>
      <w:rFonts w:eastAsia="Times New Roman"/>
      <w:b/>
    </w:rPr>
  </w:style>
  <w:style w:type="paragraph" w:customStyle="1" w:styleId="CROutline5">
    <w:name w:val="CR Outline5"/>
    <w:next w:val="Normal"/>
    <w:rsid w:val="00CD5CB4"/>
    <w:pPr>
      <w:numPr>
        <w:ilvl w:val="4"/>
        <w:numId w:val="35"/>
      </w:numPr>
      <w:spacing w:after="240"/>
      <w:ind w:left="2880"/>
      <w:outlineLvl w:val="4"/>
    </w:pPr>
    <w:rPr>
      <w:rFonts w:eastAsia="Times New Roman"/>
      <w:b/>
    </w:rPr>
  </w:style>
  <w:style w:type="paragraph" w:customStyle="1" w:styleId="CROutline6">
    <w:name w:val="CR Outline6"/>
    <w:next w:val="Normal"/>
    <w:rsid w:val="00CD5CB4"/>
    <w:pPr>
      <w:numPr>
        <w:ilvl w:val="5"/>
        <w:numId w:val="35"/>
      </w:numPr>
      <w:spacing w:after="240"/>
      <w:ind w:left="3600"/>
      <w:outlineLvl w:val="5"/>
    </w:pPr>
    <w:rPr>
      <w:rFonts w:eastAsia="Times New Roman"/>
      <w:b/>
    </w:rPr>
  </w:style>
  <w:style w:type="paragraph" w:customStyle="1" w:styleId="CROutline7">
    <w:name w:val="CR Outline7"/>
    <w:next w:val="Normal"/>
    <w:rsid w:val="00CD5CB4"/>
    <w:pPr>
      <w:numPr>
        <w:ilvl w:val="6"/>
        <w:numId w:val="35"/>
      </w:numPr>
      <w:spacing w:after="240"/>
      <w:ind w:left="4320"/>
      <w:outlineLvl w:val="6"/>
    </w:pPr>
    <w:rPr>
      <w:rFonts w:eastAsia="Times New Roman"/>
      <w:b/>
    </w:rPr>
  </w:style>
  <w:style w:type="paragraph" w:customStyle="1" w:styleId="CROutline8">
    <w:name w:val="CR Outline8"/>
    <w:next w:val="Normal"/>
    <w:rsid w:val="00CD5CB4"/>
    <w:pPr>
      <w:numPr>
        <w:ilvl w:val="7"/>
        <w:numId w:val="35"/>
      </w:numPr>
      <w:spacing w:after="240"/>
      <w:ind w:left="5040"/>
      <w:outlineLvl w:val="7"/>
    </w:pPr>
    <w:rPr>
      <w:rFonts w:eastAsia="Times New Roman"/>
      <w:b/>
    </w:rPr>
  </w:style>
  <w:style w:type="paragraph" w:customStyle="1" w:styleId="CROutline9">
    <w:name w:val="CR Outline9"/>
    <w:next w:val="Normal"/>
    <w:rsid w:val="00CD5CB4"/>
    <w:pPr>
      <w:numPr>
        <w:ilvl w:val="8"/>
        <w:numId w:val="35"/>
      </w:numPr>
      <w:spacing w:after="240"/>
      <w:ind w:left="5760"/>
      <w:outlineLvl w:val="8"/>
    </w:pPr>
    <w:rPr>
      <w:rFonts w:eastAsia="Times New Roman"/>
      <w:b/>
    </w:rPr>
  </w:style>
  <w:style w:type="paragraph" w:styleId="ListParagraph">
    <w:name w:val="List Paragraph"/>
    <w:basedOn w:val="Normal"/>
    <w:uiPriority w:val="34"/>
    <w:qFormat/>
    <w:rsid w:val="00584C91"/>
    <w:pPr>
      <w:numPr>
        <w:numId w:val="36"/>
      </w:numPr>
      <w:spacing w:after="240"/>
    </w:pPr>
  </w:style>
  <w:style w:type="paragraph" w:styleId="Title">
    <w:name w:val="Title"/>
    <w:basedOn w:val="Normal"/>
    <w:next w:val="Normal"/>
    <w:link w:val="TitleChar"/>
    <w:uiPriority w:val="10"/>
    <w:qFormat/>
    <w:rsid w:val="0074707D"/>
    <w:pPr>
      <w:contextualSpacing/>
      <w:jc w:val="center"/>
    </w:pPr>
    <w:rPr>
      <w:rFonts w:eastAsiaTheme="majorEastAsia"/>
      <w:b/>
      <w:caps/>
      <w:spacing w:val="-10"/>
      <w:kern w:val="28"/>
    </w:rPr>
  </w:style>
  <w:style w:type="character" w:customStyle="1" w:styleId="TitleChar">
    <w:name w:val="Title Char"/>
    <w:basedOn w:val="DefaultParagraphFont"/>
    <w:link w:val="Title"/>
    <w:uiPriority w:val="10"/>
    <w:rsid w:val="0074707D"/>
    <w:rPr>
      <w:rFonts w:eastAsiaTheme="majorEastAsia"/>
      <w:b/>
      <w:caps/>
      <w:spacing w:val="-10"/>
      <w:kern w:val="28"/>
    </w:rPr>
  </w:style>
  <w:style w:type="paragraph" w:customStyle="1" w:styleId="FoFs">
    <w:name w:val="FoFs"/>
    <w:basedOn w:val="BodyText"/>
    <w:qFormat/>
    <w:rsid w:val="0074707D"/>
    <w:pPr>
      <w:numPr>
        <w:numId w:val="37"/>
      </w:numPr>
      <w:tabs>
        <w:tab w:val="num" w:pos="1800"/>
      </w:tabs>
      <w:spacing w:line="360" w:lineRule="auto"/>
      <w:ind w:left="1800" w:right="130" w:hanging="720"/>
    </w:pPr>
    <w:rPr>
      <w:snapToGrid w:val="0"/>
    </w:rPr>
  </w:style>
  <w:style w:type="paragraph" w:styleId="BodyText">
    <w:name w:val="Body Text"/>
    <w:basedOn w:val="Normal"/>
    <w:link w:val="BodyTextChar"/>
    <w:uiPriority w:val="99"/>
    <w:unhideWhenUsed/>
    <w:qFormat/>
    <w:rsid w:val="00826870"/>
    <w:pPr>
      <w:spacing w:line="480" w:lineRule="auto"/>
    </w:pPr>
    <w:rPr>
      <w:rFonts w:eastAsia="SimSun"/>
      <w:lang w:eastAsia="zh-CN"/>
    </w:rPr>
  </w:style>
  <w:style w:type="character" w:customStyle="1" w:styleId="BodyTextChar">
    <w:name w:val="Body Text Char"/>
    <w:basedOn w:val="DefaultParagraphFont"/>
    <w:link w:val="BodyText"/>
    <w:uiPriority w:val="99"/>
    <w:rsid w:val="00826870"/>
    <w:rPr>
      <w:rFonts w:eastAsia="SimSun"/>
      <w:lang w:eastAsia="zh-CN"/>
    </w:rPr>
  </w:style>
  <w:style w:type="paragraph" w:customStyle="1" w:styleId="FoFsSubheader">
    <w:name w:val="FoFs Subheader"/>
    <w:basedOn w:val="BodyText"/>
    <w:qFormat/>
    <w:rsid w:val="00BC19A8"/>
    <w:pPr>
      <w:tabs>
        <w:tab w:val="clear" w:pos="720"/>
      </w:tabs>
      <w:spacing w:after="240"/>
      <w:ind w:right="130"/>
    </w:pPr>
    <w:rPr>
      <w:b/>
      <w:bCs/>
      <w:i/>
      <w:iCs/>
      <w:snapToGrid w:val="0"/>
      <w:u w:val="single"/>
      <w:lang w:eastAsia="zh-TW"/>
    </w:rPr>
  </w:style>
  <w:style w:type="paragraph" w:customStyle="1" w:styleId="xmsonormal">
    <w:name w:val="x_msonormal"/>
    <w:basedOn w:val="Normal"/>
    <w:rsid w:val="00F20D38"/>
    <w:pPr>
      <w:tabs>
        <w:tab w:val="clear" w:pos="720"/>
      </w:tabs>
      <w:jc w:val="left"/>
    </w:pPr>
    <w:rPr>
      <w:rFonts w:ascii="Calibri" w:eastAsiaTheme="minorHAnsi" w:hAnsi="Calibri" w:cs="Calibri"/>
      <w:sz w:val="22"/>
      <w:szCs w:val="22"/>
    </w:rPr>
  </w:style>
  <w:style w:type="paragraph" w:customStyle="1" w:styleId="xxmsonormal">
    <w:name w:val="x_xmsonormal"/>
    <w:basedOn w:val="Normal"/>
    <w:rsid w:val="00F20D38"/>
    <w:pPr>
      <w:tabs>
        <w:tab w:val="clear" w:pos="720"/>
      </w:tabs>
      <w:spacing w:before="100" w:beforeAutospacing="1" w:after="100" w:afterAutospacing="1"/>
      <w:jc w:val="left"/>
    </w:pPr>
    <w:rPr>
      <w:rFonts w:ascii="Calibri" w:eastAsiaTheme="minorHAnsi" w:hAnsi="Calibri" w:cs="Calibri"/>
      <w:sz w:val="22"/>
      <w:szCs w:val="22"/>
    </w:rPr>
  </w:style>
  <w:style w:type="paragraph" w:styleId="Header">
    <w:name w:val="header"/>
    <w:basedOn w:val="Normal"/>
    <w:link w:val="HeaderChar"/>
    <w:uiPriority w:val="99"/>
    <w:unhideWhenUsed/>
    <w:rsid w:val="00191A66"/>
    <w:pPr>
      <w:tabs>
        <w:tab w:val="clear" w:pos="720"/>
        <w:tab w:val="center" w:pos="4680"/>
        <w:tab w:val="right" w:pos="9360"/>
      </w:tabs>
    </w:pPr>
  </w:style>
  <w:style w:type="character" w:customStyle="1" w:styleId="HeaderChar">
    <w:name w:val="Header Char"/>
    <w:basedOn w:val="DefaultParagraphFont"/>
    <w:link w:val="Header"/>
    <w:uiPriority w:val="99"/>
    <w:rsid w:val="00191A66"/>
  </w:style>
  <w:style w:type="paragraph" w:styleId="Footer">
    <w:name w:val="footer"/>
    <w:basedOn w:val="Normal"/>
    <w:link w:val="FooterChar"/>
    <w:uiPriority w:val="99"/>
    <w:unhideWhenUsed/>
    <w:rsid w:val="00191A66"/>
    <w:pPr>
      <w:tabs>
        <w:tab w:val="clear" w:pos="720"/>
        <w:tab w:val="center" w:pos="4680"/>
        <w:tab w:val="right" w:pos="9360"/>
      </w:tabs>
    </w:pPr>
  </w:style>
  <w:style w:type="character" w:customStyle="1" w:styleId="FooterChar">
    <w:name w:val="Footer Char"/>
    <w:basedOn w:val="DefaultParagraphFont"/>
    <w:link w:val="Footer"/>
    <w:uiPriority w:val="99"/>
    <w:rsid w:val="00191A66"/>
  </w:style>
  <w:style w:type="paragraph" w:customStyle="1" w:styleId="Default">
    <w:name w:val="Default"/>
    <w:rsid w:val="00091989"/>
    <w:pPr>
      <w:autoSpaceDE w:val="0"/>
      <w:autoSpaceDN w:val="0"/>
      <w:adjustRightInd w:val="0"/>
      <w:jc w:val="left"/>
    </w:pPr>
    <w:rPr>
      <w:rFonts w:ascii="Arial" w:eastAsiaTheme="minorHAnsi"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1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68793-6F5D-4083-B4F0-1701738DE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1584</Words>
  <Characters>9034</Characters>
  <Application>Microsoft Office Word</Application>
  <DocSecurity>0</DocSecurity>
  <Lines>75</Lines>
  <Paragraphs>21</Paragraphs>
  <ScaleCrop>false</ScaleCrop>
  <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2023-03-29T17:41:00Z</dcterms:created>
  <dcterms:modified xsi:type="dcterms:W3CDTF">2023-03-29T17:41:00Z</dcterms:modified>
</cp:coreProperties>
</file>